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424" w:leftChars="-202"/>
        <w:jc w:val="both"/>
        <w:rPr>
          <w:rFonts w:ascii="黑体" w:hAnsi="黑体" w:eastAsia="黑体"/>
          <w:sz w:val="36"/>
          <w:szCs w:val="32"/>
        </w:rPr>
      </w:pPr>
      <w:r>
        <w:rPr>
          <w:rFonts w:hint="eastAsia" w:ascii="黑体" w:hAnsi="黑体" w:eastAsia="黑体"/>
          <w:sz w:val="36"/>
          <w:szCs w:val="32"/>
          <w:lang w:eastAsia="zh-CN"/>
        </w:rPr>
        <w:t>附件</w:t>
      </w:r>
      <w:r>
        <w:rPr>
          <w:rFonts w:hint="eastAsia" w:ascii="黑体" w:hAnsi="黑体" w:eastAsia="黑体"/>
          <w:sz w:val="36"/>
          <w:szCs w:val="32"/>
          <w:lang w:val="en-US" w:eastAsia="zh-CN"/>
        </w:rPr>
        <w:t>1</w:t>
      </w:r>
      <w:r>
        <w:rPr>
          <w:rFonts w:hint="eastAsia" w:ascii="黑体" w:hAnsi="黑体" w:eastAsia="黑体"/>
          <w:sz w:val="36"/>
          <w:szCs w:val="32"/>
          <w:lang w:eastAsia="zh-CN"/>
        </w:rPr>
        <w:t>：医院感染实时监控系统维保</w:t>
      </w:r>
    </w:p>
    <w:tbl>
      <w:tblPr>
        <w:tblStyle w:val="10"/>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3496"/>
        <w:gridCol w:w="1753"/>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950" w:type="dxa"/>
            <w:vAlign w:val="center"/>
          </w:tcPr>
          <w:p>
            <w:pPr>
              <w:widowControl/>
              <w:jc w:val="center"/>
              <w:rPr>
                <w:rFonts w:ascii="黑体" w:hAnsi="黑体" w:eastAsia="黑体"/>
                <w:kern w:val="0"/>
                <w:sz w:val="24"/>
                <w:szCs w:val="24"/>
                <w:lang w:val="zh-CN" w:bidi="zh-CN"/>
              </w:rPr>
            </w:pPr>
            <w:r>
              <w:rPr>
                <w:rFonts w:hint="eastAsia" w:ascii="黑体" w:hAnsi="黑体" w:eastAsia="黑体"/>
                <w:kern w:val="0"/>
                <w:sz w:val="24"/>
                <w:szCs w:val="24"/>
                <w:lang w:val="zh-CN" w:bidi="zh-CN"/>
              </w:rPr>
              <w:t>项目名称</w:t>
            </w:r>
          </w:p>
        </w:tc>
        <w:tc>
          <w:tcPr>
            <w:tcW w:w="3496"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_GB2312" w:hAnsi="宋体" w:eastAsia="仿宋_GB2312"/>
                <w:kern w:val="0"/>
                <w:szCs w:val="21"/>
                <w:lang w:bidi="zh-CN"/>
              </w:rPr>
            </w:pPr>
            <w:r>
              <w:rPr>
                <w:rFonts w:hint="eastAsia" w:ascii="仿宋_GB2312" w:hAnsi="宋体" w:eastAsia="仿宋_GB2312"/>
                <w:kern w:val="0"/>
                <w:szCs w:val="21"/>
                <w:lang w:bidi="zh-CN"/>
              </w:rPr>
              <w:t>医院感染实时监控系统</w:t>
            </w:r>
            <w:r>
              <w:rPr>
                <w:rFonts w:hint="eastAsia" w:ascii="仿宋_GB2312" w:hAnsi="宋体" w:eastAsia="仿宋_GB2312"/>
                <w:kern w:val="0"/>
                <w:szCs w:val="21"/>
                <w:lang w:eastAsia="zh-CN" w:bidi="zh-CN"/>
              </w:rPr>
              <w:t>维保</w:t>
            </w:r>
          </w:p>
        </w:tc>
        <w:tc>
          <w:tcPr>
            <w:tcW w:w="1753"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黑体" w:hAnsi="黑体" w:eastAsia="黑体"/>
                <w:kern w:val="0"/>
                <w:sz w:val="24"/>
                <w:szCs w:val="24"/>
                <w:lang w:val="zh-CN" w:bidi="zh-CN"/>
              </w:rPr>
            </w:pPr>
            <w:r>
              <w:rPr>
                <w:rFonts w:hint="eastAsia" w:ascii="黑体" w:hAnsi="黑体" w:eastAsia="黑体"/>
                <w:kern w:val="0"/>
                <w:sz w:val="24"/>
                <w:szCs w:val="24"/>
                <w:lang w:val="zh-CN" w:bidi="zh-CN"/>
              </w:rPr>
              <w:t>国别品牌</w:t>
            </w:r>
          </w:p>
        </w:tc>
        <w:tc>
          <w:tcPr>
            <w:tcW w:w="2742"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_GB2312" w:hAnsi="宋体" w:eastAsia="仿宋_GB2312"/>
                <w:kern w:val="0"/>
                <w:szCs w:val="21"/>
                <w:lang w:val="zh-CN" w:eastAsia="zh-CN" w:bidi="zh-CN"/>
              </w:rPr>
            </w:pPr>
            <w:r>
              <w:rPr>
                <w:rFonts w:hint="eastAsia" w:asciiTheme="majorEastAsia" w:hAnsiTheme="majorEastAsia" w:eastAsiaTheme="majorEastAsia" w:cstheme="majorEastAsia"/>
                <w:color w:val="000000" w:themeColor="text1"/>
                <w:sz w:val="22"/>
                <w:szCs w:val="22"/>
                <w:lang w:val="en-US" w:eastAsia="zh-CN"/>
                <w14:textFill>
                  <w14:solidFill>
                    <w14:schemeClr w14:val="tx1"/>
                  </w14:solidFill>
                </w14:textFill>
              </w:rPr>
              <w:t>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950" w:type="dxa"/>
            <w:vAlign w:val="center"/>
          </w:tcPr>
          <w:p>
            <w:pPr>
              <w:widowControl/>
              <w:jc w:val="center"/>
              <w:rPr>
                <w:rFonts w:ascii="黑体" w:hAnsi="黑体" w:eastAsia="黑体"/>
                <w:kern w:val="0"/>
                <w:sz w:val="24"/>
                <w:szCs w:val="24"/>
                <w:lang w:val="zh-CN" w:bidi="zh-CN"/>
              </w:rPr>
            </w:pPr>
            <w:r>
              <w:rPr>
                <w:rFonts w:hint="eastAsia" w:ascii="黑体" w:hAnsi="黑体" w:eastAsia="黑体"/>
                <w:kern w:val="0"/>
                <w:sz w:val="24"/>
                <w:szCs w:val="24"/>
                <w:lang w:val="zh-CN" w:bidi="zh-CN"/>
              </w:rPr>
              <w:t xml:space="preserve">规格型号 </w:t>
            </w:r>
          </w:p>
        </w:tc>
        <w:tc>
          <w:tcPr>
            <w:tcW w:w="3496"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_GB2312" w:hAnsi="宋体" w:eastAsia="仿宋_GB2312"/>
                <w:kern w:val="0"/>
                <w:szCs w:val="21"/>
                <w:lang w:bidi="zh-CN"/>
              </w:rPr>
            </w:pPr>
            <w:r>
              <w:rPr>
                <w:rFonts w:hint="eastAsia" w:ascii="仿宋_GB2312" w:hAnsi="宋体" w:eastAsia="仿宋_GB2312"/>
                <w:kern w:val="0"/>
                <w:szCs w:val="21"/>
                <w:lang w:val="en-US" w:eastAsia="zh-CN" w:bidi="zh-CN"/>
              </w:rPr>
              <w:t>V12.0.0.0</w:t>
            </w:r>
          </w:p>
        </w:tc>
        <w:tc>
          <w:tcPr>
            <w:tcW w:w="1753"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黑体" w:hAnsi="黑体" w:eastAsia="黑体"/>
                <w:kern w:val="0"/>
                <w:sz w:val="24"/>
                <w:szCs w:val="24"/>
                <w:lang w:val="zh-CN" w:bidi="zh-CN"/>
              </w:rPr>
            </w:pPr>
            <w:r>
              <w:rPr>
                <w:rFonts w:hint="eastAsia" w:ascii="黑体" w:hAnsi="黑体" w:eastAsia="黑体"/>
                <w:kern w:val="0"/>
                <w:sz w:val="24"/>
                <w:szCs w:val="24"/>
                <w:lang w:val="zh-CN" w:bidi="zh-CN"/>
              </w:rPr>
              <w:t>数    量</w:t>
            </w:r>
          </w:p>
        </w:tc>
        <w:tc>
          <w:tcPr>
            <w:tcW w:w="2742" w:type="dxa"/>
            <w:vAlign w:val="center"/>
          </w:tcPr>
          <w:p>
            <w:pPr>
              <w:pStyle w:val="8"/>
              <w:keepNext w:val="0"/>
              <w:keepLines w:val="0"/>
              <w:pageBreakBefore w:val="0"/>
              <w:widowControl w:val="0"/>
              <w:kinsoku/>
              <w:wordWrap/>
              <w:overflowPunct/>
              <w:topLinePunct w:val="0"/>
              <w:autoSpaceDE/>
              <w:autoSpaceDN/>
              <w:bidi w:val="0"/>
              <w:adjustRightInd/>
              <w:snapToGrid/>
              <w:spacing w:after="0"/>
              <w:jc w:val="center"/>
              <w:textAlignment w:val="auto"/>
              <w:rPr>
                <w:rFonts w:ascii="仿宋_GB2312" w:hAnsi="宋体" w:eastAsia="仿宋_GB2312"/>
                <w:kern w:val="0"/>
                <w:szCs w:val="21"/>
                <w:lang w:val="zh-CN" w:bidi="zh-CN"/>
              </w:rPr>
            </w:pPr>
            <w:r>
              <w:rPr>
                <w:rFonts w:hint="eastAsia"/>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 w:hRule="atLeast"/>
          <w:jc w:val="center"/>
        </w:trPr>
        <w:tc>
          <w:tcPr>
            <w:tcW w:w="1950" w:type="dxa"/>
            <w:vAlign w:val="center"/>
          </w:tcPr>
          <w:p>
            <w:pPr>
              <w:widowControl/>
              <w:jc w:val="center"/>
              <w:rPr>
                <w:rFonts w:ascii="黑体" w:hAnsi="黑体" w:eastAsia="黑体"/>
                <w:kern w:val="0"/>
                <w:sz w:val="24"/>
                <w:szCs w:val="24"/>
                <w:lang w:val="zh-CN" w:bidi="zh-CN"/>
              </w:rPr>
            </w:pPr>
            <w:r>
              <w:rPr>
                <w:rFonts w:hint="eastAsia" w:ascii="黑体" w:hAnsi="黑体" w:eastAsia="黑体"/>
                <w:kern w:val="0"/>
                <w:sz w:val="24"/>
                <w:szCs w:val="24"/>
                <w:lang w:val="zh-CN" w:bidi="zh-CN"/>
              </w:rPr>
              <w:t>代理公司</w:t>
            </w:r>
          </w:p>
        </w:tc>
        <w:tc>
          <w:tcPr>
            <w:tcW w:w="3496"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_GB2312" w:hAnsi="宋体" w:eastAsia="仿宋_GB2312"/>
                <w:kern w:val="0"/>
                <w:szCs w:val="21"/>
                <w:lang w:val="zh-CN" w:bidi="zh-CN"/>
              </w:rPr>
            </w:pPr>
            <w:r>
              <w:rPr>
                <w:rFonts w:hint="eastAsia" w:ascii="仿宋_GB2312" w:hAnsi="宋体" w:eastAsia="仿宋_GB2312"/>
                <w:kern w:val="0"/>
                <w:szCs w:val="21"/>
                <w:lang w:val="zh-CN" w:eastAsia="zh-CN" w:bidi="zh-CN"/>
              </w:rPr>
              <w:t>杭州杏林信息科技有限公司</w:t>
            </w:r>
          </w:p>
        </w:tc>
        <w:tc>
          <w:tcPr>
            <w:tcW w:w="1753"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黑体" w:hAnsi="黑体" w:eastAsia="黑体"/>
                <w:kern w:val="0"/>
                <w:sz w:val="24"/>
                <w:szCs w:val="24"/>
                <w:lang w:val="zh-CN" w:bidi="zh-CN"/>
              </w:rPr>
            </w:pPr>
            <w:r>
              <w:rPr>
                <w:rFonts w:hint="eastAsia" w:ascii="黑体" w:hAnsi="黑体" w:eastAsia="黑体"/>
                <w:kern w:val="0"/>
                <w:sz w:val="24"/>
                <w:szCs w:val="24"/>
                <w:lang w:val="zh-CN" w:bidi="zh-CN"/>
              </w:rPr>
              <w:t>联系方式</w:t>
            </w:r>
          </w:p>
          <w:p>
            <w:pPr>
              <w:keepNext w:val="0"/>
              <w:keepLines w:val="0"/>
              <w:pageBreakBefore w:val="0"/>
              <w:widowControl/>
              <w:kinsoku/>
              <w:wordWrap/>
              <w:overflowPunct/>
              <w:topLinePunct w:val="0"/>
              <w:autoSpaceDE/>
              <w:autoSpaceDN/>
              <w:bidi w:val="0"/>
              <w:adjustRightInd/>
              <w:snapToGrid/>
              <w:jc w:val="center"/>
              <w:textAlignment w:val="auto"/>
              <w:rPr>
                <w:rFonts w:ascii="黑体" w:hAnsi="黑体" w:eastAsia="黑体"/>
                <w:kern w:val="0"/>
                <w:sz w:val="24"/>
                <w:szCs w:val="24"/>
                <w:lang w:val="zh-CN" w:bidi="zh-CN"/>
              </w:rPr>
            </w:pPr>
            <w:r>
              <w:rPr>
                <w:rFonts w:hint="eastAsia" w:ascii="黑体" w:hAnsi="黑体" w:eastAsia="黑体"/>
                <w:kern w:val="0"/>
                <w:sz w:val="24"/>
                <w:szCs w:val="24"/>
                <w:lang w:val="zh-CN" w:bidi="zh-CN"/>
              </w:rPr>
              <w:t>(姓名、电话)</w:t>
            </w:r>
          </w:p>
        </w:tc>
        <w:tc>
          <w:tcPr>
            <w:tcW w:w="2742" w:type="dxa"/>
            <w:vAlign w:val="center"/>
          </w:tcPr>
          <w:p>
            <w:pPr>
              <w:pStyle w:val="8"/>
              <w:keepNext w:val="0"/>
              <w:keepLines w:val="0"/>
              <w:pageBreakBefore w:val="0"/>
              <w:kinsoku/>
              <w:wordWrap/>
              <w:overflowPunct/>
              <w:topLinePunct w:val="0"/>
              <w:autoSpaceDE/>
              <w:autoSpaceDN/>
              <w:bidi w:val="0"/>
              <w:adjustRightInd/>
              <w:snapToGrid/>
              <w:jc w:val="center"/>
              <w:textAlignment w:val="auto"/>
              <w:rPr>
                <w:rFonts w:hint="default" w:ascii="仿宋_GB2312" w:hAnsi="宋体" w:eastAsia="仿宋_GB2312"/>
                <w:kern w:val="0"/>
                <w:szCs w:val="21"/>
                <w:lang w:val="en-US" w:bidi="zh-CN"/>
              </w:rPr>
            </w:pPr>
            <w:r>
              <w:rPr>
                <w:rFonts w:hint="default" w:ascii="仿宋_GB2312" w:hAnsi="宋体" w:eastAsia="仿宋_GB2312"/>
                <w:kern w:val="0"/>
                <w:szCs w:val="21"/>
                <w:lang w:val="en-US" w:eastAsia="zh-CN" w:bidi="zh-CN"/>
              </w:rPr>
              <w:t>王诗雨18158519286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6" w:hRule="atLeast"/>
          <w:jc w:val="center"/>
        </w:trPr>
        <w:tc>
          <w:tcPr>
            <w:tcW w:w="1950" w:type="dxa"/>
            <w:vAlign w:val="center"/>
          </w:tcPr>
          <w:p>
            <w:pPr>
              <w:widowControl/>
              <w:jc w:val="center"/>
              <w:rPr>
                <w:rFonts w:ascii="仿宋_GB2312" w:hAnsi="宋体" w:eastAsia="仿宋_GB2312"/>
                <w:kern w:val="0"/>
                <w:szCs w:val="21"/>
                <w:lang w:val="zh-CN" w:bidi="zh-CN"/>
              </w:rPr>
            </w:pPr>
            <w:r>
              <w:rPr>
                <w:rFonts w:hint="eastAsia" w:ascii="黑体" w:hAnsi="黑体" w:eastAsia="黑体"/>
                <w:kern w:val="0"/>
                <w:sz w:val="24"/>
                <w:szCs w:val="24"/>
                <w:lang w:val="zh-CN" w:bidi="zh-CN"/>
              </w:rPr>
              <w:t>设备概况       （用途、性能、主要技术参数）</w:t>
            </w:r>
          </w:p>
        </w:tc>
        <w:tc>
          <w:tcPr>
            <w:tcW w:w="7991" w:type="dxa"/>
            <w:gridSpan w:val="3"/>
            <w:vAlign w:val="center"/>
          </w:tcPr>
          <w:p>
            <w:pPr>
              <w:keepNext/>
              <w:keepLines/>
              <w:spacing w:line="240" w:lineRule="auto"/>
              <w:outlineLvl w:val="1"/>
              <w:rPr>
                <w:rFonts w:ascii="宋体" w:hAnsi="宋体" w:eastAsia="宋体" w:cs="宋体"/>
                <w:szCs w:val="21"/>
                <w:lang w:val="zh-CN" w:bidi="zh-CN"/>
              </w:rPr>
            </w:pPr>
            <w:r>
              <w:rPr>
                <w:rFonts w:hint="eastAsia" w:ascii="宋体" w:hAnsi="宋体" w:eastAsia="宋体" w:cs="宋体"/>
                <w:szCs w:val="21"/>
                <w:lang w:val="zh-CN" w:bidi="zh-CN"/>
              </w:rPr>
              <w:t>用途性能：</w:t>
            </w:r>
          </w:p>
          <w:p>
            <w:pPr>
              <w:keepNext/>
              <w:keepLines/>
              <w:spacing w:line="240" w:lineRule="auto"/>
              <w:outlineLvl w:val="1"/>
              <w:rPr>
                <w:rFonts w:hint="eastAsia" w:ascii="宋体" w:hAnsi="宋体" w:eastAsia="宋体" w:cs="宋体"/>
                <w:szCs w:val="21"/>
                <w:lang w:val="zh-CN" w:bidi="zh-CN"/>
              </w:rPr>
            </w:pPr>
            <w:r>
              <w:rPr>
                <w:rFonts w:hint="eastAsia" w:ascii="宋体" w:hAnsi="宋体" w:eastAsia="宋体" w:cs="宋体"/>
                <w:szCs w:val="21"/>
                <w:lang w:val="zh-CN" w:bidi="zh-CN"/>
              </w:rPr>
              <w:t>医院感染控制科使用的杏林医院感染实时监控系统，</w:t>
            </w:r>
            <w:r>
              <w:rPr>
                <w:rFonts w:hint="eastAsia" w:ascii="宋体" w:hAnsi="宋体" w:eastAsia="宋体" w:cs="宋体"/>
                <w:szCs w:val="21"/>
                <w:lang w:val="zh-CN" w:eastAsia="zh-CN" w:bidi="zh-CN"/>
              </w:rPr>
              <w:t>主要是</w:t>
            </w:r>
            <w:r>
              <w:rPr>
                <w:rFonts w:hint="eastAsia" w:ascii="宋体" w:hAnsi="宋体" w:eastAsia="宋体" w:cs="宋体"/>
                <w:szCs w:val="21"/>
                <w:lang w:val="zh-CN" w:bidi="zh-CN"/>
              </w:rPr>
              <w:t>监控医院感染控制情况。维保期将过，为保证系统更好的运行，需进行续保。</w:t>
            </w:r>
          </w:p>
          <w:p>
            <w:pPr>
              <w:keepNext/>
              <w:keepLines/>
              <w:spacing w:line="240" w:lineRule="auto"/>
              <w:outlineLvl w:val="1"/>
              <w:rPr>
                <w:rFonts w:hint="eastAsia" w:ascii="宋体" w:hAnsi="宋体" w:eastAsia="宋体" w:cs="宋体"/>
                <w:szCs w:val="21"/>
                <w:lang w:val="zh-CN" w:bidi="zh-CN"/>
              </w:rPr>
            </w:pPr>
          </w:p>
          <w:p>
            <w:pPr>
              <w:keepNext/>
              <w:keepLines/>
              <w:spacing w:line="240" w:lineRule="auto"/>
              <w:outlineLvl w:val="1"/>
              <w:rPr>
                <w:rFonts w:hint="eastAsia" w:ascii="宋体" w:hAnsi="宋体" w:eastAsia="宋体" w:cs="宋体"/>
                <w:szCs w:val="21"/>
                <w:lang w:val="zh-CN" w:bidi="zh-CN"/>
              </w:rPr>
            </w:pPr>
            <w:bookmarkStart w:id="0" w:name="_GoBack"/>
            <w:bookmarkEnd w:id="0"/>
            <w:r>
              <w:rPr>
                <w:rFonts w:hint="eastAsia" w:ascii="宋体" w:hAnsi="宋体" w:eastAsia="宋体" w:cs="宋体"/>
                <w:szCs w:val="21"/>
                <w:lang w:val="zh-CN" w:bidi="zh-CN"/>
              </w:rPr>
              <w:t>技术参数：</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一、服务内容</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确保系统软件正常运行。</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确保数据安全。</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每季度向院方信息科和使用科室进行一次系统运行状况调查，收集和分析系统运行中的问题，并提供相应情况分析报告，对于收集的问题提出解决方案和解决时间。</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根据医院业务发展需要，配合完成本合同维保信息系统的预警、迁移、备份、应急方案、服务器升级、存储扩容等工作。</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确保信息系统兼容当前主流软件环境和硬件环境。</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负责对原有功能的完善。</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乙方负责维护与业务相关的集成服务，甲方无需另行付费。</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可根据业务发展，提供系统升级和扩容方案，以保证甲方的系统能保证满足发展需求。</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zh-CN" w:eastAsia="zh-CN" w:bidi="zh-CN"/>
              </w:rPr>
              <w:t>咨询服务。帮助解答使用方提出的系统相关的各种业务和技术问题，包括技术咨询、指导和信息提供等。</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提供免费二次开发。</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提供技术支持，包括邮件、微信、电话、远程、现场。</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二、服务要求</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系统问题的严重级别：</w:t>
            </w:r>
          </w:p>
          <w:tbl>
            <w:tblPr>
              <w:tblStyle w:val="10"/>
              <w:tblpPr w:leftFromText="180" w:rightFromText="180" w:vertAnchor="text" w:horzAnchor="page" w:tblpXSpec="right" w:tblpY="19"/>
              <w:tblOverlap w:val="never"/>
              <w:tblW w:w="4731"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right"/>
              </w:trPr>
              <w:tc>
                <w:tcPr>
                  <w:tcW w:w="713"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紧急</w:t>
                  </w:r>
                </w:p>
              </w:tc>
              <w:tc>
                <w:tcPr>
                  <w:tcW w:w="4286" w:type="pct"/>
                  <w:noWrap w:val="0"/>
                  <w:vAlign w:val="top"/>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系统完全瘫痪，导致甲方整体流程中断，主要指：服务器系统故障，数据库不可访问、数据库数据丢失等。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713"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高</w:t>
                  </w:r>
                </w:p>
              </w:tc>
              <w:tc>
                <w:tcPr>
                  <w:tcW w:w="4286" w:type="pct"/>
                  <w:noWrap w:val="0"/>
                  <w:vAlign w:val="top"/>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系统正常运行，不影响甲方整体流程，但某些主要功能出现问题，主要指：科室主要流程受到影响，工作站软件出现频繁死机或者卡顿，严重影响科室工作。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right"/>
              </w:trPr>
              <w:tc>
                <w:tcPr>
                  <w:tcW w:w="713"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中</w:t>
                  </w:r>
                </w:p>
              </w:tc>
              <w:tc>
                <w:tcPr>
                  <w:tcW w:w="4286" w:type="pct"/>
                  <w:noWrap w:val="0"/>
                  <w:vAlign w:val="top"/>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系统正常运行，甲方科室流程正常，某个工作站或某些功能出现问题，部分数据不准等。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right"/>
              </w:trPr>
              <w:tc>
                <w:tcPr>
                  <w:tcW w:w="713"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低</w:t>
                  </w:r>
                </w:p>
              </w:tc>
              <w:tc>
                <w:tcPr>
                  <w:tcW w:w="4286" w:type="pct"/>
                  <w:noWrap w:val="0"/>
                  <w:vAlign w:val="top"/>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系统正常运行，医院科室流程正常，某个工作站或某个小功能偶尔工作不正常，非常少量数据不准等。</w:t>
                  </w:r>
                </w:p>
              </w:tc>
            </w:tr>
          </w:tbl>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将根据问题的严重级别，在以下相应的响应时间内首先通过电话或远程协助帮助解决问题，如果不能远程解决应提供现场服务。</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响应方式：</w:t>
            </w:r>
          </w:p>
          <w:tbl>
            <w:tblPr>
              <w:tblStyle w:val="10"/>
              <w:tblW w:w="4549"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364"/>
              <w:gridCol w:w="1377"/>
              <w:gridCol w:w="1166"/>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right"/>
              </w:trPr>
              <w:tc>
                <w:tcPr>
                  <w:tcW w:w="95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响应方式</w:t>
                  </w:r>
                </w:p>
              </w:tc>
              <w:tc>
                <w:tcPr>
                  <w:tcW w:w="96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紧急</w:t>
                  </w:r>
                </w:p>
              </w:tc>
              <w:tc>
                <w:tcPr>
                  <w:tcW w:w="974"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高</w:t>
                  </w:r>
                </w:p>
              </w:tc>
              <w:tc>
                <w:tcPr>
                  <w:tcW w:w="82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中</w:t>
                  </w:r>
                </w:p>
              </w:tc>
              <w:tc>
                <w:tcPr>
                  <w:tcW w:w="1279"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right"/>
              </w:trPr>
              <w:tc>
                <w:tcPr>
                  <w:tcW w:w="95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电话</w:t>
                  </w:r>
                </w:p>
              </w:tc>
              <w:tc>
                <w:tcPr>
                  <w:tcW w:w="96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及时</w:t>
                  </w:r>
                </w:p>
              </w:tc>
              <w:tc>
                <w:tcPr>
                  <w:tcW w:w="974"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30分钟内</w:t>
                  </w:r>
                </w:p>
              </w:tc>
              <w:tc>
                <w:tcPr>
                  <w:tcW w:w="82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1小时内</w:t>
                  </w:r>
                </w:p>
              </w:tc>
              <w:tc>
                <w:tcPr>
                  <w:tcW w:w="1279"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right"/>
              </w:trPr>
              <w:tc>
                <w:tcPr>
                  <w:tcW w:w="95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远程协助</w:t>
                  </w:r>
                </w:p>
              </w:tc>
              <w:tc>
                <w:tcPr>
                  <w:tcW w:w="96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30分钟内</w:t>
                  </w:r>
                </w:p>
              </w:tc>
              <w:tc>
                <w:tcPr>
                  <w:tcW w:w="974"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1小时内</w:t>
                  </w:r>
                </w:p>
              </w:tc>
              <w:tc>
                <w:tcPr>
                  <w:tcW w:w="82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12小时内</w:t>
                  </w:r>
                </w:p>
              </w:tc>
              <w:tc>
                <w:tcPr>
                  <w:tcW w:w="1279"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95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现场</w:t>
                  </w:r>
                </w:p>
              </w:tc>
              <w:tc>
                <w:tcPr>
                  <w:tcW w:w="96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6小时内</w:t>
                  </w:r>
                </w:p>
              </w:tc>
              <w:tc>
                <w:tcPr>
                  <w:tcW w:w="974"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12小时内</w:t>
                  </w:r>
                </w:p>
              </w:tc>
              <w:tc>
                <w:tcPr>
                  <w:tcW w:w="825"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24小时内</w:t>
                  </w:r>
                </w:p>
              </w:tc>
              <w:tc>
                <w:tcPr>
                  <w:tcW w:w="1279" w:type="pct"/>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48小时内</w:t>
                  </w:r>
                </w:p>
              </w:tc>
            </w:tr>
          </w:tbl>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每周七天,每天二十四小时支持服务(7*24)。</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要求维护期内至少每年一次到现场进行软件巡检、升级服务，医院使用的系统版本为：研发单位301医院当年研发的最新功能。</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维护期内要求提供免费二次开发，累计开发工作日不高于7日。</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能提供符合医院要求的安全机制确保本系统及所连接的系统的数据安全，保证数据不被非法利用和盗用。</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en-US" w:eastAsia="zh-CN" w:bidi="zh-CN"/>
              </w:rPr>
            </w:pPr>
            <w:r>
              <w:rPr>
                <w:rFonts w:hint="eastAsia" w:ascii="宋体" w:hAnsi="宋体" w:eastAsia="宋体" w:cs="宋体"/>
                <w:szCs w:val="21"/>
                <w:lang w:val="en-US" w:eastAsia="zh-CN" w:bidi="zh-CN"/>
              </w:rPr>
              <w:t>在质保期内，如果乙方的产品技术升级，乙方应及时通知甲方，如甲方有相应要求，乙方应对甲方购买的产品（小版本范围内）进行免费升级服务。</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zh-CN" w:eastAsia="zh-CN" w:bidi="zh-CN"/>
              </w:rPr>
            </w:pPr>
            <w:r>
              <w:rPr>
                <w:rFonts w:hint="eastAsia" w:ascii="宋体" w:hAnsi="宋体" w:eastAsia="宋体" w:cs="宋体"/>
                <w:szCs w:val="21"/>
                <w:lang w:val="en-US" w:eastAsia="zh-CN" w:bidi="zh-CN"/>
              </w:rPr>
              <w:t>维保方相应负责人在维护人员有变动，维保期限到期及任何变动情况出现，及时提前告知院方。</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zh-CN" w:bidi="zh-CN"/>
              </w:rPr>
            </w:pPr>
            <w:r>
              <w:rPr>
                <w:rFonts w:hint="eastAsia" w:ascii="宋体" w:hAnsi="宋体" w:eastAsia="宋体" w:cs="宋体"/>
                <w:szCs w:val="21"/>
                <w:lang w:val="zh-CN" w:bidi="zh-CN"/>
              </w:rPr>
              <w:t>三、验收方式</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zh-CN" w:eastAsia="zh-CN" w:bidi="zh-CN"/>
              </w:rPr>
            </w:pPr>
            <w:r>
              <w:rPr>
                <w:rFonts w:hint="eastAsia" w:ascii="宋体" w:hAnsi="宋体" w:eastAsia="宋体" w:cs="宋体"/>
                <w:szCs w:val="21"/>
                <w:lang w:val="zh-CN" w:eastAsia="zh-CN" w:bidi="zh-CN"/>
              </w:rPr>
              <w:t>验收时需提供季度巡检单，确认各个季度所提出的问题已经解决后，甲乙双方工程师及使用科室设备管理人员签字验收，并提供检修或维护保养报告存档。</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hint="eastAsia" w:ascii="宋体" w:hAnsi="宋体" w:eastAsia="宋体" w:cs="宋体"/>
                <w:szCs w:val="21"/>
                <w:lang w:val="zh-CN" w:bidi="zh-CN"/>
              </w:rPr>
            </w:pPr>
            <w:r>
              <w:rPr>
                <w:rFonts w:hint="eastAsia" w:ascii="宋体" w:hAnsi="宋体" w:eastAsia="宋体" w:cs="宋体"/>
                <w:szCs w:val="21"/>
                <w:lang w:val="zh-CN" w:bidi="zh-CN"/>
              </w:rPr>
              <w:t>四、付款方式</w:t>
            </w:r>
          </w:p>
          <w:p>
            <w:pPr>
              <w:keepNext/>
              <w:keepLines/>
              <w:pageBreakBefore w:val="0"/>
              <w:widowControl w:val="0"/>
              <w:kinsoku/>
              <w:wordWrap/>
              <w:overflowPunct/>
              <w:topLinePunct w:val="0"/>
              <w:autoSpaceDE/>
              <w:autoSpaceDN/>
              <w:bidi w:val="0"/>
              <w:adjustRightInd/>
              <w:snapToGrid/>
              <w:spacing w:line="240" w:lineRule="auto"/>
              <w:ind w:firstLine="420" w:firstLineChars="200"/>
              <w:textAlignment w:val="auto"/>
              <w:outlineLvl w:val="1"/>
              <w:rPr>
                <w:rFonts w:ascii="仿宋_GB2312" w:hAnsi="宋体" w:eastAsia="仿宋_GB2312" w:cs="Arial"/>
                <w:kern w:val="0"/>
                <w:szCs w:val="21"/>
                <w:lang w:bidi="zh-CN"/>
              </w:rPr>
            </w:pPr>
            <w:r>
              <w:rPr>
                <w:rFonts w:hint="eastAsia" w:ascii="宋体" w:hAnsi="宋体" w:eastAsia="宋体" w:cs="宋体"/>
                <w:szCs w:val="21"/>
                <w:lang w:val="zh-CN" w:eastAsia="zh-CN" w:bidi="zh-CN"/>
              </w:rPr>
              <w:t>分两期付款：合同生效之日开始计算，满</w:t>
            </w:r>
            <w:r>
              <w:rPr>
                <w:rFonts w:hint="eastAsia" w:ascii="宋体" w:hAnsi="宋体" w:eastAsia="宋体" w:cs="宋体"/>
                <w:szCs w:val="21"/>
                <w:lang w:val="en-US" w:eastAsia="zh-CN" w:bidi="zh-CN"/>
              </w:rPr>
              <w:t>12个月验收合格，甲方凭乙方开具的全额发票支付当年维保全款。合同生效之日开始计算，满24个月验收合格，且完成价格审定，乙方最终按照审价金额（以审计办或第三方审价机构出具的审价资料为准）作为结算金额，支付项目尾款。</w:t>
            </w:r>
          </w:p>
        </w:tc>
      </w:tr>
    </w:tbl>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N2ViMDAyZDRlZmJmZWE1N2RkOTg0ODlmOWVlOTkifQ=="/>
  </w:docVars>
  <w:rsids>
    <w:rsidRoot w:val="00B23728"/>
    <w:rsid w:val="00074589"/>
    <w:rsid w:val="00116E8A"/>
    <w:rsid w:val="001315E9"/>
    <w:rsid w:val="00337F5C"/>
    <w:rsid w:val="00367380"/>
    <w:rsid w:val="00420A78"/>
    <w:rsid w:val="004360E4"/>
    <w:rsid w:val="004779A4"/>
    <w:rsid w:val="0049027B"/>
    <w:rsid w:val="004A6632"/>
    <w:rsid w:val="004E5476"/>
    <w:rsid w:val="004F452C"/>
    <w:rsid w:val="00525294"/>
    <w:rsid w:val="00532B0C"/>
    <w:rsid w:val="0055604E"/>
    <w:rsid w:val="00590493"/>
    <w:rsid w:val="006A507E"/>
    <w:rsid w:val="006F4740"/>
    <w:rsid w:val="007320B3"/>
    <w:rsid w:val="00767A13"/>
    <w:rsid w:val="00784163"/>
    <w:rsid w:val="0078660D"/>
    <w:rsid w:val="00805AFB"/>
    <w:rsid w:val="008642D9"/>
    <w:rsid w:val="009913D9"/>
    <w:rsid w:val="009B0B1C"/>
    <w:rsid w:val="00A0118C"/>
    <w:rsid w:val="00A42A4C"/>
    <w:rsid w:val="00B23728"/>
    <w:rsid w:val="00C409BE"/>
    <w:rsid w:val="00CE62C0"/>
    <w:rsid w:val="00D37624"/>
    <w:rsid w:val="00D43C5F"/>
    <w:rsid w:val="00D91984"/>
    <w:rsid w:val="00DC4130"/>
    <w:rsid w:val="00EA7310"/>
    <w:rsid w:val="00EF391B"/>
    <w:rsid w:val="00F41D39"/>
    <w:rsid w:val="00F66DB5"/>
    <w:rsid w:val="00FE5BC1"/>
    <w:rsid w:val="3B0300BA"/>
    <w:rsid w:val="3B113181"/>
    <w:rsid w:val="47DA4BDB"/>
    <w:rsid w:val="56977792"/>
    <w:rsid w:val="633E2A3A"/>
    <w:rsid w:val="75694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40" w:lineRule="auto"/>
      <w:jc w:val="both"/>
    </w:pPr>
    <w:rPr>
      <w:rFonts w:ascii="Calibri" w:hAnsi="Calibri" w:eastAsia="宋体" w:cs="Times New Roman"/>
      <w:kern w:val="2"/>
      <w:sz w:val="21"/>
      <w:szCs w:val="22"/>
      <w:lang w:val="en-US" w:eastAsia="zh-CN" w:bidi="ar-SA"/>
    </w:rPr>
  </w:style>
  <w:style w:type="paragraph" w:styleId="2">
    <w:name w:val="heading 2"/>
    <w:basedOn w:val="1"/>
    <w:next w:val="1"/>
    <w:link w:val="13"/>
    <w:autoRedefine/>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link w:val="14"/>
    <w:autoRedefine/>
    <w:unhideWhenUsed/>
    <w:qFormat/>
    <w:uiPriority w:val="99"/>
    <w:pPr>
      <w:spacing w:after="120"/>
    </w:pPr>
    <w:rPr>
      <w:rFonts w:ascii="Times New Roman" w:hAnsi="Times New Roman"/>
      <w:kern w:val="0"/>
      <w:szCs w:val="21"/>
    </w:rPr>
  </w:style>
  <w:style w:type="paragraph" w:styleId="4">
    <w:name w:val="Body Text Indent"/>
    <w:basedOn w:val="1"/>
    <w:link w:val="16"/>
    <w:autoRedefine/>
    <w:semiHidden/>
    <w:unhideWhenUsed/>
    <w:qFormat/>
    <w:uiPriority w:val="99"/>
    <w:pPr>
      <w:spacing w:after="120"/>
      <w:ind w:left="420" w:leftChars="200"/>
    </w:pPr>
  </w:style>
  <w:style w:type="paragraph" w:styleId="5">
    <w:name w:val="Balloon Text"/>
    <w:basedOn w:val="1"/>
    <w:link w:val="19"/>
    <w:autoRedefine/>
    <w:semiHidden/>
    <w:unhideWhenUsed/>
    <w:qFormat/>
    <w:uiPriority w:val="99"/>
    <w:rPr>
      <w:sz w:val="18"/>
      <w:szCs w:val="18"/>
    </w:rPr>
  </w:style>
  <w:style w:type="paragraph" w:styleId="6">
    <w:name w:val="footer"/>
    <w:basedOn w:val="1"/>
    <w:link w:val="15"/>
    <w:autoRedefine/>
    <w:qFormat/>
    <w:uiPriority w:val="0"/>
    <w:pPr>
      <w:tabs>
        <w:tab w:val="center" w:pos="4153"/>
        <w:tab w:val="right" w:pos="8306"/>
      </w:tabs>
      <w:snapToGrid w:val="0"/>
      <w:jc w:val="left"/>
    </w:pPr>
    <w:rPr>
      <w:sz w:val="18"/>
    </w:rPr>
  </w:style>
  <w:style w:type="paragraph" w:styleId="7">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1"/>
    <w:next w:val="1"/>
    <w:autoRedefine/>
    <w:qFormat/>
    <w:uiPriority w:val="99"/>
    <w:pPr>
      <w:spacing w:after="120" w:line="275" w:lineRule="atLeast"/>
      <w:textAlignment w:val="baseline"/>
    </w:pPr>
  </w:style>
  <w:style w:type="paragraph" w:styleId="9">
    <w:name w:val="Body Text First Indent 2"/>
    <w:basedOn w:val="4"/>
    <w:link w:val="17"/>
    <w:autoRedefine/>
    <w:unhideWhenUsed/>
    <w:qFormat/>
    <w:uiPriority w:val="99"/>
    <w:pPr>
      <w:ind w:firstLine="420" w:firstLineChars="200"/>
    </w:pPr>
    <w:rPr>
      <w:rFonts w:ascii="Times New Roman" w:hAnsi="Times New Roman"/>
      <w:szCs w:val="20"/>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2 Char"/>
    <w:basedOn w:val="12"/>
    <w:link w:val="2"/>
    <w:autoRedefine/>
    <w:qFormat/>
    <w:uiPriority w:val="0"/>
    <w:rPr>
      <w:rFonts w:ascii="Cambria" w:hAnsi="Cambria"/>
      <w:b/>
      <w:bCs/>
      <w:kern w:val="2"/>
      <w:sz w:val="32"/>
      <w:szCs w:val="32"/>
    </w:rPr>
  </w:style>
  <w:style w:type="character" w:customStyle="1" w:styleId="14">
    <w:name w:val="正文文本 Char"/>
    <w:basedOn w:val="12"/>
    <w:link w:val="3"/>
    <w:autoRedefine/>
    <w:qFormat/>
    <w:uiPriority w:val="99"/>
    <w:rPr>
      <w:sz w:val="21"/>
      <w:szCs w:val="21"/>
    </w:rPr>
  </w:style>
  <w:style w:type="character" w:customStyle="1" w:styleId="15">
    <w:name w:val="页脚 Char"/>
    <w:basedOn w:val="12"/>
    <w:link w:val="6"/>
    <w:autoRedefine/>
    <w:qFormat/>
    <w:uiPriority w:val="0"/>
    <w:rPr>
      <w:rFonts w:ascii="Calibri" w:hAnsi="Calibri"/>
      <w:kern w:val="2"/>
      <w:sz w:val="18"/>
      <w:szCs w:val="22"/>
    </w:rPr>
  </w:style>
  <w:style w:type="character" w:customStyle="1" w:styleId="16">
    <w:name w:val="正文文本缩进 Char"/>
    <w:basedOn w:val="12"/>
    <w:link w:val="4"/>
    <w:autoRedefine/>
    <w:semiHidden/>
    <w:qFormat/>
    <w:uiPriority w:val="99"/>
    <w:rPr>
      <w:rFonts w:ascii="Calibri" w:hAnsi="Calibri"/>
      <w:kern w:val="2"/>
      <w:sz w:val="21"/>
      <w:szCs w:val="22"/>
    </w:rPr>
  </w:style>
  <w:style w:type="character" w:customStyle="1" w:styleId="17">
    <w:name w:val="正文首行缩进 2 Char"/>
    <w:basedOn w:val="16"/>
    <w:link w:val="9"/>
    <w:autoRedefine/>
    <w:qFormat/>
    <w:uiPriority w:val="99"/>
    <w:rPr>
      <w:rFonts w:ascii="Calibri" w:hAnsi="Calibri"/>
      <w:kern w:val="2"/>
      <w:sz w:val="21"/>
      <w:szCs w:val="22"/>
    </w:rPr>
  </w:style>
  <w:style w:type="character" w:customStyle="1" w:styleId="18">
    <w:name w:val="页眉 Char"/>
    <w:basedOn w:val="12"/>
    <w:link w:val="7"/>
    <w:autoRedefine/>
    <w:qFormat/>
    <w:uiPriority w:val="99"/>
    <w:rPr>
      <w:rFonts w:ascii="Calibri" w:hAnsi="Calibri"/>
      <w:kern w:val="2"/>
      <w:sz w:val="18"/>
      <w:szCs w:val="18"/>
    </w:rPr>
  </w:style>
  <w:style w:type="character" w:customStyle="1" w:styleId="19">
    <w:name w:val="批注框文本 Char"/>
    <w:basedOn w:val="12"/>
    <w:link w:val="5"/>
    <w:autoRedefine/>
    <w:semiHidden/>
    <w:qFormat/>
    <w:uiPriority w:val="99"/>
    <w:rPr>
      <w:rFonts w:ascii="Calibri" w:hAnsi="Calibri"/>
      <w:kern w:val="2"/>
      <w:sz w:val="18"/>
      <w:szCs w:val="18"/>
    </w:rPr>
  </w:style>
  <w:style w:type="character" w:customStyle="1" w:styleId="20">
    <w:name w:val="font21"/>
    <w:basedOn w:val="12"/>
    <w:autoRedefine/>
    <w:qFormat/>
    <w:uiPriority w:val="0"/>
    <w:rPr>
      <w:rFonts w:hint="eastAsia" w:ascii="仿宋_GB2312" w:eastAsia="仿宋_GB2312" w:cs="仿宋_GB2312"/>
      <w:color w:val="000000"/>
      <w:sz w:val="24"/>
      <w:szCs w:val="24"/>
      <w:u w:val="none"/>
    </w:rPr>
  </w:style>
  <w:style w:type="paragraph" w:customStyle="1" w:styleId="2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2028</Words>
  <Characters>2158</Characters>
  <Lines>20</Lines>
  <Paragraphs>5</Paragraphs>
  <TotalTime>2</TotalTime>
  <ScaleCrop>false</ScaleCrop>
  <LinksUpToDate>false</LinksUpToDate>
  <CharactersWithSpaces>2180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2022-10-08T08:56:00Z</dcterms:created>
  <dc:creator>核医学科医生办公室</dc:creator>
  <cp:lastModifiedBy>WPS_1668613672</cp:lastModifiedBy>
  <cp:lastPrinted>2024-03-18T09:18:00Z</cp:lastPrinted>
  <dcterms:modified xsi:type="dcterms:W3CDTF">2024-03-20T09:19:30Z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6FFB0D5E0F804BBA813360DC50F16F3B_13</vt:lpwstr>
  </property>
</Properties>
</file>