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left="-424" w:leftChars="-202"/>
        <w:jc w:val="both"/>
        <w:rPr>
          <w:rFonts w:ascii="黑体" w:hAnsi="黑体" w:eastAsia="黑体"/>
          <w:sz w:val="36"/>
          <w:szCs w:val="32"/>
        </w:rPr>
      </w:pPr>
      <w:r>
        <w:rPr>
          <w:rFonts w:hint="eastAsia" w:ascii="黑体" w:hAnsi="黑体" w:eastAsia="黑体"/>
          <w:sz w:val="36"/>
          <w:szCs w:val="32"/>
          <w:lang w:eastAsia="zh-CN"/>
        </w:rPr>
        <w:t>附件</w:t>
      </w:r>
      <w:r>
        <w:rPr>
          <w:rFonts w:hint="eastAsia" w:ascii="黑体" w:hAnsi="黑体" w:eastAsia="黑体"/>
          <w:sz w:val="36"/>
          <w:szCs w:val="32"/>
          <w:lang w:val="en-US" w:eastAsia="zh-CN"/>
        </w:rPr>
        <w:t>1</w:t>
      </w:r>
      <w:r>
        <w:rPr>
          <w:rFonts w:hint="eastAsia" w:ascii="黑体" w:hAnsi="黑体" w:eastAsia="黑体"/>
          <w:sz w:val="36"/>
          <w:szCs w:val="32"/>
          <w:lang w:eastAsia="zh-CN"/>
        </w:rPr>
        <w:t>：</w:t>
      </w:r>
      <w:r>
        <w:rPr>
          <w:rFonts w:hint="eastAsia" w:ascii="黑体" w:hAnsi="黑体" w:eastAsia="黑体"/>
          <w:sz w:val="36"/>
          <w:szCs w:val="32"/>
          <w:lang w:val="en-US" w:eastAsia="zh-CN"/>
        </w:rPr>
        <w:t>银医一卡通系统维保</w:t>
      </w:r>
    </w:p>
    <w:tbl>
      <w:tblPr>
        <w:tblStyle w:val="10"/>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0"/>
        <w:gridCol w:w="3496"/>
        <w:gridCol w:w="1753"/>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950" w:type="dxa"/>
            <w:vAlign w:val="center"/>
          </w:tcPr>
          <w:p>
            <w:pPr>
              <w:widowControl/>
              <w:jc w:val="center"/>
              <w:rPr>
                <w:rFonts w:ascii="黑体" w:hAnsi="黑体" w:eastAsia="黑体"/>
                <w:kern w:val="0"/>
                <w:sz w:val="24"/>
                <w:szCs w:val="24"/>
                <w:lang w:val="zh-CN" w:bidi="zh-CN"/>
              </w:rPr>
            </w:pPr>
            <w:r>
              <w:rPr>
                <w:rFonts w:hint="eastAsia" w:ascii="黑体" w:hAnsi="黑体" w:eastAsia="黑体"/>
                <w:kern w:val="0"/>
                <w:sz w:val="24"/>
                <w:szCs w:val="24"/>
                <w:lang w:val="zh-CN" w:bidi="zh-CN"/>
              </w:rPr>
              <w:t>项目名称</w:t>
            </w:r>
          </w:p>
        </w:tc>
        <w:tc>
          <w:tcPr>
            <w:tcW w:w="3496"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_GB2312" w:hAnsi="宋体" w:eastAsia="仿宋_GB2312"/>
                <w:kern w:val="0"/>
                <w:szCs w:val="21"/>
                <w:lang w:bidi="zh-CN"/>
              </w:rPr>
            </w:pPr>
            <w:r>
              <w:rPr>
                <w:rFonts w:hint="eastAsia" w:ascii="仿宋_GB2312" w:hAnsi="宋体" w:eastAsia="仿宋_GB2312"/>
                <w:kern w:val="0"/>
                <w:szCs w:val="21"/>
                <w:lang w:val="en-US" w:eastAsia="zh-CN" w:bidi="zh-CN"/>
              </w:rPr>
              <w:t>银医一卡通系统维保</w:t>
            </w:r>
          </w:p>
        </w:tc>
        <w:tc>
          <w:tcPr>
            <w:tcW w:w="1753"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黑体" w:hAnsi="黑体" w:eastAsia="黑体"/>
                <w:kern w:val="0"/>
                <w:sz w:val="24"/>
                <w:szCs w:val="24"/>
                <w:lang w:val="zh-CN" w:bidi="zh-CN"/>
              </w:rPr>
            </w:pPr>
            <w:r>
              <w:rPr>
                <w:rFonts w:hint="eastAsia" w:ascii="黑体" w:hAnsi="黑体" w:eastAsia="黑体"/>
                <w:kern w:val="0"/>
                <w:sz w:val="24"/>
                <w:szCs w:val="24"/>
                <w:lang w:val="zh-CN" w:bidi="zh-CN"/>
              </w:rPr>
              <w:t>国别品牌</w:t>
            </w:r>
          </w:p>
        </w:tc>
        <w:tc>
          <w:tcPr>
            <w:tcW w:w="2742"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_GB2312" w:hAnsi="宋体" w:eastAsia="仿宋_GB2312"/>
                <w:kern w:val="0"/>
                <w:szCs w:val="21"/>
                <w:lang w:val="zh-CN" w:eastAsia="zh-CN" w:bidi="zh-CN"/>
              </w:rPr>
            </w:pPr>
            <w:r>
              <w:rPr>
                <w:rFonts w:hint="eastAsia" w:asciiTheme="majorEastAsia" w:hAnsiTheme="majorEastAsia" w:eastAsiaTheme="majorEastAsia" w:cstheme="majorEastAsia"/>
                <w:color w:val="000000"/>
                <w:sz w:val="22"/>
                <w:szCs w:val="22"/>
                <w:lang w:val="en-US" w:eastAsia="zh-CN"/>
              </w:rPr>
              <w:t>武汉源启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950" w:type="dxa"/>
            <w:vAlign w:val="center"/>
          </w:tcPr>
          <w:p>
            <w:pPr>
              <w:widowControl/>
              <w:jc w:val="center"/>
              <w:rPr>
                <w:rFonts w:ascii="黑体" w:hAnsi="黑体" w:eastAsia="黑体"/>
                <w:kern w:val="0"/>
                <w:sz w:val="24"/>
                <w:szCs w:val="24"/>
                <w:lang w:val="zh-CN" w:bidi="zh-CN"/>
              </w:rPr>
            </w:pPr>
            <w:r>
              <w:rPr>
                <w:rFonts w:hint="eastAsia" w:ascii="黑体" w:hAnsi="黑体" w:eastAsia="黑体"/>
                <w:kern w:val="0"/>
                <w:sz w:val="24"/>
                <w:szCs w:val="24"/>
                <w:lang w:val="zh-CN" w:bidi="zh-CN"/>
              </w:rPr>
              <w:t xml:space="preserve">规格型号 </w:t>
            </w:r>
          </w:p>
        </w:tc>
        <w:tc>
          <w:tcPr>
            <w:tcW w:w="3496"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_GB2312" w:hAnsi="宋体" w:eastAsia="仿宋_GB2312"/>
                <w:kern w:val="0"/>
                <w:szCs w:val="21"/>
                <w:lang w:bidi="zh-CN"/>
              </w:rPr>
            </w:pPr>
            <w:r>
              <w:rPr>
                <w:rFonts w:hint="eastAsia" w:ascii="仿宋_GB2312" w:hAnsi="宋体" w:eastAsia="仿宋_GB2312"/>
                <w:kern w:val="0"/>
                <w:szCs w:val="21"/>
                <w:lang w:bidi="zh-CN"/>
              </w:rPr>
              <w:t>/</w:t>
            </w:r>
          </w:p>
        </w:tc>
        <w:tc>
          <w:tcPr>
            <w:tcW w:w="1753"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黑体" w:hAnsi="黑体" w:eastAsia="黑体"/>
                <w:kern w:val="0"/>
                <w:sz w:val="24"/>
                <w:szCs w:val="24"/>
                <w:lang w:val="zh-CN" w:bidi="zh-CN"/>
              </w:rPr>
            </w:pPr>
            <w:r>
              <w:rPr>
                <w:rFonts w:hint="eastAsia" w:ascii="黑体" w:hAnsi="黑体" w:eastAsia="黑体"/>
                <w:kern w:val="0"/>
                <w:sz w:val="24"/>
                <w:szCs w:val="24"/>
                <w:lang w:val="zh-CN" w:bidi="zh-CN"/>
              </w:rPr>
              <w:t>数    量</w:t>
            </w:r>
          </w:p>
        </w:tc>
        <w:tc>
          <w:tcPr>
            <w:tcW w:w="2742" w:type="dxa"/>
            <w:vAlign w:val="center"/>
          </w:tcPr>
          <w:p>
            <w:pPr>
              <w:pStyle w:val="8"/>
              <w:keepNext w:val="0"/>
              <w:keepLines w:val="0"/>
              <w:pageBreakBefore w:val="0"/>
              <w:widowControl w:val="0"/>
              <w:kinsoku/>
              <w:wordWrap/>
              <w:overflowPunct/>
              <w:topLinePunct w:val="0"/>
              <w:autoSpaceDE/>
              <w:autoSpaceDN/>
              <w:bidi w:val="0"/>
              <w:adjustRightInd/>
              <w:snapToGrid/>
              <w:spacing w:after="0"/>
              <w:jc w:val="center"/>
              <w:textAlignment w:val="auto"/>
              <w:rPr>
                <w:rFonts w:ascii="仿宋_GB2312" w:hAnsi="宋体" w:eastAsia="仿宋_GB2312"/>
                <w:kern w:val="0"/>
                <w:szCs w:val="21"/>
                <w:lang w:val="zh-CN" w:bidi="zh-CN"/>
              </w:rPr>
            </w:pPr>
            <w:r>
              <w:rPr>
                <w:rFonts w:hint="eastAsia"/>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 w:hRule="atLeast"/>
          <w:jc w:val="center"/>
        </w:trPr>
        <w:tc>
          <w:tcPr>
            <w:tcW w:w="1950" w:type="dxa"/>
            <w:vAlign w:val="center"/>
          </w:tcPr>
          <w:p>
            <w:pPr>
              <w:widowControl/>
              <w:jc w:val="center"/>
              <w:rPr>
                <w:rFonts w:ascii="黑体" w:hAnsi="黑体" w:eastAsia="黑体"/>
                <w:kern w:val="0"/>
                <w:sz w:val="24"/>
                <w:szCs w:val="24"/>
                <w:lang w:val="zh-CN" w:bidi="zh-CN"/>
              </w:rPr>
            </w:pPr>
            <w:r>
              <w:rPr>
                <w:rFonts w:hint="eastAsia" w:ascii="黑体" w:hAnsi="黑体" w:eastAsia="黑体"/>
                <w:kern w:val="0"/>
                <w:sz w:val="24"/>
                <w:szCs w:val="24"/>
                <w:lang w:val="zh-CN" w:bidi="zh-CN"/>
              </w:rPr>
              <w:t>代理公司</w:t>
            </w:r>
          </w:p>
        </w:tc>
        <w:tc>
          <w:tcPr>
            <w:tcW w:w="3496"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_GB2312" w:hAnsi="宋体" w:eastAsia="仿宋_GB2312"/>
                <w:kern w:val="0"/>
                <w:szCs w:val="21"/>
                <w:lang w:val="zh-CN" w:bidi="zh-CN"/>
              </w:rPr>
            </w:pPr>
            <w:r>
              <w:rPr>
                <w:rFonts w:hint="eastAsia" w:ascii="仿宋_GB2312" w:hAnsi="宋体" w:eastAsia="仿宋_GB2312"/>
                <w:kern w:val="0"/>
                <w:szCs w:val="21"/>
                <w:lang w:val="zh-CN" w:eastAsia="zh-CN" w:bidi="zh-CN"/>
              </w:rPr>
              <w:t>武汉源启科技股份有限公司</w:t>
            </w:r>
          </w:p>
        </w:tc>
        <w:tc>
          <w:tcPr>
            <w:tcW w:w="1753"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黑体" w:hAnsi="黑体" w:eastAsia="黑体"/>
                <w:kern w:val="0"/>
                <w:sz w:val="24"/>
                <w:szCs w:val="24"/>
                <w:lang w:val="zh-CN" w:bidi="zh-CN"/>
              </w:rPr>
            </w:pPr>
            <w:r>
              <w:rPr>
                <w:rFonts w:hint="eastAsia" w:ascii="黑体" w:hAnsi="黑体" w:eastAsia="黑体"/>
                <w:kern w:val="0"/>
                <w:sz w:val="24"/>
                <w:szCs w:val="24"/>
                <w:lang w:val="zh-CN" w:bidi="zh-CN"/>
              </w:rPr>
              <w:t>联系方式</w:t>
            </w:r>
          </w:p>
          <w:p>
            <w:pPr>
              <w:keepNext w:val="0"/>
              <w:keepLines w:val="0"/>
              <w:pageBreakBefore w:val="0"/>
              <w:widowControl/>
              <w:kinsoku/>
              <w:wordWrap/>
              <w:overflowPunct/>
              <w:topLinePunct w:val="0"/>
              <w:autoSpaceDE/>
              <w:autoSpaceDN/>
              <w:bidi w:val="0"/>
              <w:adjustRightInd/>
              <w:snapToGrid/>
              <w:jc w:val="center"/>
              <w:textAlignment w:val="auto"/>
              <w:rPr>
                <w:rFonts w:ascii="黑体" w:hAnsi="黑体" w:eastAsia="黑体"/>
                <w:kern w:val="0"/>
                <w:sz w:val="24"/>
                <w:szCs w:val="24"/>
                <w:lang w:val="zh-CN" w:bidi="zh-CN"/>
              </w:rPr>
            </w:pPr>
            <w:r>
              <w:rPr>
                <w:rFonts w:hint="eastAsia" w:ascii="黑体" w:hAnsi="黑体" w:eastAsia="黑体"/>
                <w:kern w:val="0"/>
                <w:sz w:val="24"/>
                <w:szCs w:val="24"/>
                <w:lang w:val="zh-CN" w:bidi="zh-CN"/>
              </w:rPr>
              <w:t>(姓名、电话)</w:t>
            </w:r>
          </w:p>
        </w:tc>
        <w:tc>
          <w:tcPr>
            <w:tcW w:w="2742" w:type="dxa"/>
            <w:vAlign w:val="center"/>
          </w:tcPr>
          <w:p>
            <w:pPr>
              <w:pStyle w:val="8"/>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仿宋_GB2312" w:hAnsi="宋体" w:eastAsia="仿宋_GB2312"/>
                <w:kern w:val="0"/>
                <w:szCs w:val="21"/>
                <w:lang w:val="en-US" w:bidi="zh-CN"/>
              </w:rPr>
            </w:pPr>
            <w:r>
              <w:rPr>
                <w:rFonts w:hint="default" w:ascii="仿宋_GB2312" w:hAnsi="宋体" w:eastAsia="仿宋_GB2312"/>
                <w:kern w:val="0"/>
                <w:szCs w:val="21"/>
                <w:lang w:val="en-US" w:eastAsia="zh-CN" w:bidi="zh-CN"/>
              </w:rPr>
              <w:t>耿娜</w:t>
            </w:r>
            <w:r>
              <w:rPr>
                <w:rFonts w:hint="eastAsia" w:ascii="仿宋_GB2312" w:hAnsi="宋体" w:eastAsia="仿宋_GB2312"/>
                <w:kern w:val="0"/>
                <w:szCs w:val="21"/>
                <w:lang w:val="en-US" w:eastAsia="zh-CN" w:bidi="zh-CN"/>
              </w:rPr>
              <w:t>、</w:t>
            </w:r>
            <w:r>
              <w:rPr>
                <w:rFonts w:hint="default" w:ascii="仿宋_GB2312" w:hAnsi="宋体" w:eastAsia="仿宋_GB2312"/>
                <w:kern w:val="0"/>
                <w:szCs w:val="21"/>
                <w:lang w:val="en-US" w:eastAsia="zh-CN" w:bidi="zh-CN"/>
              </w:rPr>
              <w:t>13657268678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6" w:hRule="atLeast"/>
          <w:jc w:val="center"/>
        </w:trPr>
        <w:tc>
          <w:tcPr>
            <w:tcW w:w="1950" w:type="dxa"/>
            <w:vAlign w:val="center"/>
          </w:tcPr>
          <w:p>
            <w:pPr>
              <w:widowControl/>
              <w:jc w:val="center"/>
              <w:rPr>
                <w:rFonts w:ascii="仿宋_GB2312" w:hAnsi="宋体" w:eastAsia="仿宋_GB2312"/>
                <w:kern w:val="0"/>
                <w:szCs w:val="21"/>
                <w:lang w:val="zh-CN" w:bidi="zh-CN"/>
              </w:rPr>
            </w:pPr>
            <w:r>
              <w:rPr>
                <w:rFonts w:hint="eastAsia" w:ascii="黑体" w:hAnsi="黑体" w:eastAsia="黑体"/>
                <w:kern w:val="0"/>
                <w:sz w:val="24"/>
                <w:szCs w:val="24"/>
                <w:lang w:val="zh-CN" w:bidi="zh-CN"/>
              </w:rPr>
              <w:t>设备概况       （用途、性能、主要技术参数）</w:t>
            </w:r>
          </w:p>
        </w:tc>
        <w:tc>
          <w:tcPr>
            <w:tcW w:w="7991" w:type="dxa"/>
            <w:gridSpan w:val="3"/>
            <w:vAlign w:val="center"/>
          </w:tcPr>
          <w:p>
            <w:pPr>
              <w:keepNext/>
              <w:keepLines/>
              <w:spacing w:line="240" w:lineRule="auto"/>
              <w:outlineLvl w:val="1"/>
              <w:rPr>
                <w:rFonts w:ascii="宋体" w:hAnsi="宋体" w:eastAsia="宋体" w:cs="宋体"/>
                <w:szCs w:val="21"/>
                <w:lang w:val="zh-CN" w:bidi="zh-CN"/>
              </w:rPr>
            </w:pPr>
            <w:r>
              <w:rPr>
                <w:rFonts w:hint="eastAsia" w:ascii="宋体" w:hAnsi="宋体" w:eastAsia="宋体" w:cs="宋体"/>
                <w:szCs w:val="21"/>
                <w:lang w:val="zh-CN" w:bidi="zh-CN"/>
              </w:rPr>
              <w:t>用途性能：</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zh-CN" w:bidi="zh-CN"/>
              </w:rPr>
            </w:pPr>
            <w:r>
              <w:rPr>
                <w:rFonts w:hint="eastAsia" w:ascii="宋体" w:hAnsi="宋体" w:eastAsia="宋体" w:cs="宋体"/>
                <w:szCs w:val="21"/>
                <w:lang w:val="zh-CN" w:bidi="zh-CN"/>
              </w:rPr>
              <w:t>我院银医系统是武汉源启科技股份有限公司2014年5月完成实施部署，主要负责我院自助机缴费、自助机预约、门诊缴费、账务平台、外联平台、消息中心等门诊核心业务的信息系统，现免费维保期已过，需公司提供相关信息系统的维保</w:t>
            </w:r>
          </w:p>
          <w:p>
            <w:pPr>
              <w:keepNext/>
              <w:keepLines/>
              <w:spacing w:line="240" w:lineRule="auto"/>
              <w:outlineLvl w:val="1"/>
              <w:rPr>
                <w:rFonts w:hint="eastAsia" w:ascii="宋体" w:hAnsi="宋体" w:eastAsia="宋体" w:cs="宋体"/>
                <w:szCs w:val="21"/>
                <w:lang w:val="zh-CN" w:bidi="zh-CN"/>
              </w:rPr>
            </w:pPr>
          </w:p>
          <w:p>
            <w:pPr>
              <w:keepNext/>
              <w:keepLines/>
              <w:spacing w:line="240" w:lineRule="auto"/>
              <w:outlineLvl w:val="1"/>
              <w:rPr>
                <w:rFonts w:hint="eastAsia" w:ascii="宋体" w:hAnsi="宋体" w:eastAsia="宋体" w:cs="宋体"/>
                <w:szCs w:val="21"/>
                <w:lang w:val="zh-CN" w:bidi="zh-CN"/>
              </w:rPr>
            </w:pPr>
            <w:r>
              <w:rPr>
                <w:rFonts w:hint="eastAsia" w:ascii="宋体" w:hAnsi="宋体" w:eastAsia="宋体" w:cs="宋体"/>
                <w:szCs w:val="21"/>
                <w:lang w:val="zh-CN" w:bidi="zh-CN"/>
              </w:rPr>
              <w:t>技术参数：</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一、服务内容及要求</w:t>
            </w:r>
            <w:bookmarkStart w:id="0" w:name="_GoBack"/>
            <w:bookmarkEnd w:id="0"/>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主要负责门诊自助机挂号、预约、缴费等门诊服务的信息系统的维保。</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二、服务要求</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1.确保维保信息系统的各软件运行正常。</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2.确保数据安全。</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3.每周向院方的信息科和使用科室进行一次系统运行状况调查，收集和分析系统运行中的问题，并提供相应情况分析报告，对于收集的问题提出解决方案且明确解决时间。</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4.根据医院业务发展需要，配合完成维保信息系统的预警、迁移、备份、应急方案、服务器升级、存储扩容等工作。</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5.确保信息系统兼容当前主流软件环境和硬件环境。</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6.原有功能的完善。</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7.根据医院业务发展情况，成交人负责与本系统相关的集成或接口服务，医院无需另行付费。</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8.外联平台运行维护，包括相关业务系统以及辅助软件提供日常维护。</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9.银医自助机系统相关软件的日常维护以及其他临时性维护工作的日常维护。</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10.根据财务需求，完善和完成平台的对账功能，增加和修改平台报表，便于财务管理和查看医院账务。</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11.根据医院预约挂号的业务灵活性，不断完善和修改分时排班系统、预约系统，防止号源被号贩子垄断，在保持强大和灵活可变的同时，保证系统的稳定，让患者和医务人员更加的满意。</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12.根据医院各系统使用情况提供统计数据，反应系统各模块使用情况。</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13.根据用户和相关医务人员的使用体验和意见反馈，不断保持系统维护和更新。同时站在患者使用习惯的角度来考虑让自助机更具有人性化，方便患者操作，引导患者进行预约挂号和相关操作，保证全流程操作简单，目标明确，页面简洁明了。</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14.软件系统本身出错，提供软件本身问题（例如Bug引起的问题）的维护服务。</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15.维护问题后提供详细的问题记录，包含故障描述、原因分析、解决方案，并跟踪解决结果。</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16.根据系统问题的严重级别作出相应的相应</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系统问题的严重级别：</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6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pct"/>
                  <w:noWrap w:val="0"/>
                  <w:vAlign w:val="center"/>
                </w:tcPr>
                <w:p>
                  <w:pPr>
                    <w:keepNext/>
                    <w:keepLines/>
                    <w:spacing w:line="240" w:lineRule="auto"/>
                    <w:jc w:val="center"/>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紧急</w:t>
                  </w:r>
                </w:p>
              </w:tc>
              <w:tc>
                <w:tcPr>
                  <w:tcW w:w="4294" w:type="pct"/>
                  <w:noWrap w:val="0"/>
                  <w:vAlign w:val="top"/>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系统完全瘫痪，导致医院整体流程中断，主要指：服务器系统故障，数据不可访问等。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pct"/>
                  <w:noWrap w:val="0"/>
                  <w:vAlign w:val="center"/>
                </w:tcPr>
                <w:p>
                  <w:pPr>
                    <w:keepNext/>
                    <w:keepLines/>
                    <w:spacing w:line="240" w:lineRule="auto"/>
                    <w:jc w:val="center"/>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高</w:t>
                  </w:r>
                </w:p>
              </w:tc>
              <w:tc>
                <w:tcPr>
                  <w:tcW w:w="4294" w:type="pct"/>
                  <w:noWrap w:val="0"/>
                  <w:vAlign w:val="top"/>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系统正常运行，不影响医院整体流程，但某些主要功能出现问题，主要指：医院科室主要流程受到影响，工作站软件出现频繁死机，严重影响科室工作。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pct"/>
                  <w:noWrap w:val="0"/>
                  <w:vAlign w:val="center"/>
                </w:tcPr>
                <w:p>
                  <w:pPr>
                    <w:keepNext/>
                    <w:keepLines/>
                    <w:spacing w:line="240" w:lineRule="auto"/>
                    <w:jc w:val="center"/>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中</w:t>
                  </w:r>
                </w:p>
              </w:tc>
              <w:tc>
                <w:tcPr>
                  <w:tcW w:w="4294" w:type="pct"/>
                  <w:noWrap w:val="0"/>
                  <w:vAlign w:val="top"/>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系统正常运行，医院科室流程正常，某个工作站或某些功能出现问题。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pct"/>
                  <w:noWrap w:val="0"/>
                  <w:vAlign w:val="center"/>
                </w:tcPr>
                <w:p>
                  <w:pPr>
                    <w:keepNext/>
                    <w:keepLines/>
                    <w:spacing w:line="240" w:lineRule="auto"/>
                    <w:jc w:val="center"/>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低</w:t>
                  </w:r>
                </w:p>
              </w:tc>
              <w:tc>
                <w:tcPr>
                  <w:tcW w:w="4294" w:type="pct"/>
                  <w:noWrap w:val="0"/>
                  <w:vAlign w:val="top"/>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系统正常运行，医院科室流程正常，某个工作站或某个小功能偶尔工作不正常。</w:t>
                  </w:r>
                </w:p>
              </w:tc>
            </w:tr>
          </w:tbl>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（1）将根据问题的严重级别，在以下相应的响应时间内首先通过电话或网络帮助解决问题，如果不能远程解决应提供现场服务；</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1421"/>
              <w:gridCol w:w="1419"/>
              <w:gridCol w:w="142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响应方式</w:t>
                  </w:r>
                </w:p>
              </w:tc>
              <w:tc>
                <w:tcPr>
                  <w:tcW w:w="915"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紧急</w:t>
                  </w:r>
                </w:p>
              </w:tc>
              <w:tc>
                <w:tcPr>
                  <w:tcW w:w="914"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高</w:t>
                  </w:r>
                </w:p>
              </w:tc>
              <w:tc>
                <w:tcPr>
                  <w:tcW w:w="915"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中</w:t>
                  </w:r>
                </w:p>
              </w:tc>
              <w:tc>
                <w:tcPr>
                  <w:tcW w:w="1277"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电话</w:t>
                  </w:r>
                </w:p>
              </w:tc>
              <w:tc>
                <w:tcPr>
                  <w:tcW w:w="915"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及时</w:t>
                  </w:r>
                </w:p>
              </w:tc>
              <w:tc>
                <w:tcPr>
                  <w:tcW w:w="914"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30分钟内</w:t>
                  </w:r>
                </w:p>
              </w:tc>
              <w:tc>
                <w:tcPr>
                  <w:tcW w:w="915"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1小时内</w:t>
                  </w:r>
                </w:p>
              </w:tc>
              <w:tc>
                <w:tcPr>
                  <w:tcW w:w="1277"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网络</w:t>
                  </w:r>
                </w:p>
              </w:tc>
              <w:tc>
                <w:tcPr>
                  <w:tcW w:w="915"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30分钟内</w:t>
                  </w:r>
                </w:p>
              </w:tc>
              <w:tc>
                <w:tcPr>
                  <w:tcW w:w="914"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1小时内</w:t>
                  </w:r>
                </w:p>
              </w:tc>
              <w:tc>
                <w:tcPr>
                  <w:tcW w:w="915"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12小时内</w:t>
                  </w:r>
                </w:p>
              </w:tc>
              <w:tc>
                <w:tcPr>
                  <w:tcW w:w="1277"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现场</w:t>
                  </w:r>
                </w:p>
              </w:tc>
              <w:tc>
                <w:tcPr>
                  <w:tcW w:w="915"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12小时内</w:t>
                  </w:r>
                </w:p>
              </w:tc>
              <w:tc>
                <w:tcPr>
                  <w:tcW w:w="914"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24小时内</w:t>
                  </w:r>
                </w:p>
              </w:tc>
              <w:tc>
                <w:tcPr>
                  <w:tcW w:w="915"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48小时内</w:t>
                  </w:r>
                </w:p>
              </w:tc>
              <w:tc>
                <w:tcPr>
                  <w:tcW w:w="1277" w:type="pct"/>
                  <w:noWrap w:val="0"/>
                  <w:vAlign w:val="center"/>
                </w:tcPr>
                <w:p>
                  <w:pPr>
                    <w:keepNext/>
                    <w:keepLines/>
                    <w:spacing w:line="240" w:lineRule="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72小时内</w:t>
                  </w:r>
                </w:p>
              </w:tc>
            </w:tr>
          </w:tbl>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（2）紧急故障现场处理</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eastAsia="zh-CN" w:bidi="zh-CN"/>
              </w:rPr>
            </w:pPr>
            <w:r>
              <w:rPr>
                <w:rFonts w:hint="eastAsia" w:ascii="仿宋_GB2312" w:hAnsi="宋体" w:eastAsia="仿宋_GB2312" w:cs="Arial"/>
                <w:kern w:val="0"/>
                <w:szCs w:val="21"/>
                <w:lang w:bidi="zh-CN"/>
              </w:rPr>
              <w:t>每周七天,为项目提供7*24小时的电话热线服务、免费维修服务，当软件系统发生故障时，提供系统自动报警或者医院人工报故障，公司根据故障分类，及时派遣软件服务工程师进行处理</w:t>
            </w:r>
            <w:r>
              <w:rPr>
                <w:rFonts w:hint="eastAsia" w:ascii="仿宋_GB2312" w:hAnsi="宋体" w:eastAsia="仿宋_GB2312" w:cs="Arial"/>
                <w:kern w:val="0"/>
                <w:szCs w:val="21"/>
                <w:lang w:eastAsia="zh-CN" w:bidi="zh-CN"/>
              </w:rPr>
              <w:t>。</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（3）在日常电话咨询、QQ、邮件支持</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eastAsia="zh-CN" w:bidi="zh-CN"/>
              </w:rPr>
            </w:pPr>
            <w:r>
              <w:rPr>
                <w:rFonts w:hint="eastAsia" w:ascii="仿宋_GB2312" w:hAnsi="宋体" w:eastAsia="仿宋_GB2312" w:cs="Arial"/>
                <w:kern w:val="0"/>
                <w:szCs w:val="21"/>
                <w:lang w:bidi="zh-CN"/>
              </w:rPr>
              <w:t>常规性咨询内容《软件使用方法、系统维护知识、扩展性开发知识等》，属于非紧急性内容可以通过电话、QQ或邮件方式进行沟通和支持</w:t>
            </w:r>
            <w:r>
              <w:rPr>
                <w:rFonts w:hint="eastAsia" w:ascii="仿宋_GB2312" w:hAnsi="宋体" w:eastAsia="仿宋_GB2312" w:cs="Arial"/>
                <w:kern w:val="0"/>
                <w:szCs w:val="21"/>
                <w:lang w:eastAsia="zh-CN" w:bidi="zh-CN"/>
              </w:rPr>
              <w:t>。</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（4）软件主动升级或小的修改调整</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eastAsia="zh-CN" w:bidi="zh-CN"/>
              </w:rPr>
            </w:pPr>
            <w:r>
              <w:rPr>
                <w:rFonts w:hint="eastAsia" w:ascii="仿宋_GB2312" w:hAnsi="宋体" w:eastAsia="仿宋_GB2312" w:cs="Arial"/>
                <w:kern w:val="0"/>
                <w:szCs w:val="21"/>
                <w:lang w:bidi="zh-CN"/>
              </w:rPr>
              <w:t>公司及时修正软件Bug并根据医院及用户的反馈意见，不断优化软件系统，使之达到最佳运行效果；同时，若根据政策需要，对软件进行非结构性调整（不进行根本性变化，不增加大的功能模块），公司承诺及时响应并提供修改服务</w:t>
            </w:r>
            <w:r>
              <w:rPr>
                <w:rFonts w:hint="eastAsia" w:ascii="仿宋_GB2312" w:hAnsi="宋体" w:eastAsia="仿宋_GB2312" w:cs="Arial"/>
                <w:kern w:val="0"/>
                <w:szCs w:val="21"/>
                <w:lang w:eastAsia="zh-CN" w:bidi="zh-CN"/>
              </w:rPr>
              <w:t>。</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（5）公司相应负责人在维护人员有变动、维保期限到期及任何变动情况出现时，需及时告知医院。</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三、验收方式</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验收时公司需提供季度巡检单，确认各个季度所提出的问题解决后，公司和医院双方工程师及使用科室设备管理人员签字验收，并提供检修或维护保养报告存档。</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仿宋_GB2312" w:hAnsi="宋体" w:eastAsia="仿宋_GB2312" w:cs="Arial"/>
                <w:kern w:val="0"/>
                <w:szCs w:val="21"/>
                <w:lang w:bidi="zh-CN"/>
              </w:rPr>
            </w:pPr>
            <w:r>
              <w:rPr>
                <w:rFonts w:hint="eastAsia" w:ascii="仿宋_GB2312" w:hAnsi="宋体" w:eastAsia="仿宋_GB2312" w:cs="Arial"/>
                <w:kern w:val="0"/>
                <w:szCs w:val="21"/>
                <w:lang w:bidi="zh-CN"/>
              </w:rPr>
              <w:t>四、支付方式</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ascii="仿宋_GB2312" w:hAnsi="宋体" w:eastAsia="仿宋_GB2312" w:cs="Arial"/>
                <w:kern w:val="0"/>
                <w:szCs w:val="21"/>
                <w:lang w:bidi="zh-CN"/>
              </w:rPr>
            </w:pPr>
            <w:r>
              <w:rPr>
                <w:rFonts w:hint="eastAsia" w:ascii="仿宋_GB2312" w:hAnsi="宋体" w:eastAsia="仿宋_GB2312" w:cs="Arial"/>
                <w:kern w:val="0"/>
                <w:szCs w:val="21"/>
                <w:lang w:bidi="zh-CN"/>
              </w:rPr>
              <w:t>分三期付款：合同生效后30天内</w:t>
            </w:r>
            <w:r>
              <w:rPr>
                <w:rFonts w:hint="eastAsia" w:ascii="仿宋_GB2312" w:hAnsi="宋体" w:eastAsia="仿宋_GB2312" w:cs="Arial"/>
                <w:kern w:val="0"/>
                <w:szCs w:val="21"/>
                <w:lang w:eastAsia="zh-CN" w:bidi="zh-CN"/>
              </w:rPr>
              <w:t>甲方</w:t>
            </w:r>
            <w:r>
              <w:rPr>
                <w:rFonts w:hint="eastAsia" w:ascii="仿宋_GB2312" w:hAnsi="宋体" w:eastAsia="仿宋_GB2312" w:cs="Arial"/>
                <w:kern w:val="0"/>
                <w:szCs w:val="21"/>
                <w:lang w:bidi="zh-CN"/>
              </w:rPr>
              <w:t>凭</w:t>
            </w:r>
            <w:r>
              <w:rPr>
                <w:rFonts w:hint="eastAsia" w:ascii="仿宋_GB2312" w:hAnsi="宋体" w:eastAsia="仿宋_GB2312" w:cs="Arial"/>
                <w:kern w:val="0"/>
                <w:szCs w:val="21"/>
                <w:lang w:eastAsia="zh-CN" w:bidi="zh-CN"/>
              </w:rPr>
              <w:t>乙方</w:t>
            </w:r>
            <w:r>
              <w:rPr>
                <w:rFonts w:hint="eastAsia" w:ascii="仿宋_GB2312" w:hAnsi="宋体" w:eastAsia="仿宋_GB2312" w:cs="Arial"/>
                <w:kern w:val="0"/>
                <w:szCs w:val="21"/>
                <w:lang w:bidi="zh-CN"/>
              </w:rPr>
              <w:t>出具的正规发票，支付合同款30%，第一年年末经年度验收合格后，支付合同总金额的30%，第二年年末经年度验收合格后</w:t>
            </w:r>
            <w:r>
              <w:rPr>
                <w:rFonts w:hint="eastAsia" w:ascii="仿宋_GB2312" w:hAnsi="宋体" w:eastAsia="仿宋_GB2312" w:cs="Arial"/>
                <w:kern w:val="0"/>
                <w:szCs w:val="21"/>
                <w:lang w:eastAsia="zh-CN" w:bidi="zh-CN"/>
              </w:rPr>
              <w:t>且完成价格审定，乙方最终按照审价金额（以审计办或第三方审价机构出具的审价资料为准）作为结算金额，支付项目尾款</w:t>
            </w:r>
            <w:r>
              <w:rPr>
                <w:rFonts w:hint="eastAsia" w:ascii="仿宋_GB2312" w:hAnsi="宋体" w:eastAsia="仿宋_GB2312" w:cs="Arial"/>
                <w:kern w:val="0"/>
                <w:szCs w:val="21"/>
                <w:lang w:bidi="zh-CN"/>
              </w:rPr>
              <w:t>。</w:t>
            </w:r>
          </w:p>
        </w:tc>
      </w:tr>
    </w:tbl>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N2ViMDAyZDRlZmJmZWE1N2RkOTg0ODlmOWVlOTkifQ=="/>
  </w:docVars>
  <w:rsids>
    <w:rsidRoot w:val="00B23728"/>
    <w:rsid w:val="00074589"/>
    <w:rsid w:val="00116E8A"/>
    <w:rsid w:val="001315E9"/>
    <w:rsid w:val="00337F5C"/>
    <w:rsid w:val="00367380"/>
    <w:rsid w:val="00420A78"/>
    <w:rsid w:val="004360E4"/>
    <w:rsid w:val="004779A4"/>
    <w:rsid w:val="0049027B"/>
    <w:rsid w:val="004A6632"/>
    <w:rsid w:val="004E5476"/>
    <w:rsid w:val="004F452C"/>
    <w:rsid w:val="00525294"/>
    <w:rsid w:val="00532B0C"/>
    <w:rsid w:val="0055604E"/>
    <w:rsid w:val="00590493"/>
    <w:rsid w:val="006A507E"/>
    <w:rsid w:val="006F4740"/>
    <w:rsid w:val="007320B3"/>
    <w:rsid w:val="00767A13"/>
    <w:rsid w:val="00784163"/>
    <w:rsid w:val="0078660D"/>
    <w:rsid w:val="00805AFB"/>
    <w:rsid w:val="008642D9"/>
    <w:rsid w:val="009913D9"/>
    <w:rsid w:val="009B0B1C"/>
    <w:rsid w:val="00A0118C"/>
    <w:rsid w:val="00A42A4C"/>
    <w:rsid w:val="00B23728"/>
    <w:rsid w:val="00C409BE"/>
    <w:rsid w:val="00CE62C0"/>
    <w:rsid w:val="00D37624"/>
    <w:rsid w:val="00D43C5F"/>
    <w:rsid w:val="00D91984"/>
    <w:rsid w:val="00DC4130"/>
    <w:rsid w:val="00EA7310"/>
    <w:rsid w:val="00EF391B"/>
    <w:rsid w:val="00F41D39"/>
    <w:rsid w:val="00F66DB5"/>
    <w:rsid w:val="00FE5BC1"/>
    <w:rsid w:val="3B0300BA"/>
    <w:rsid w:val="3B113181"/>
    <w:rsid w:val="41E7555B"/>
    <w:rsid w:val="47DA4BDB"/>
    <w:rsid w:val="56977792"/>
    <w:rsid w:val="633E2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uto"/>
      <w:jc w:val="both"/>
    </w:pPr>
    <w:rPr>
      <w:rFonts w:ascii="Calibri" w:hAnsi="Calibri" w:eastAsia="宋体" w:cs="Times New Roman"/>
      <w:kern w:val="2"/>
      <w:sz w:val="21"/>
      <w:szCs w:val="22"/>
      <w:lang w:val="en-US" w:eastAsia="zh-CN" w:bidi="ar-SA"/>
    </w:rPr>
  </w:style>
  <w:style w:type="paragraph" w:styleId="3">
    <w:name w:val="heading 2"/>
    <w:basedOn w:val="1"/>
    <w:next w:val="1"/>
    <w:link w:val="13"/>
    <w:autoRedefine/>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14"/>
    <w:autoRedefine/>
    <w:unhideWhenUsed/>
    <w:qFormat/>
    <w:uiPriority w:val="99"/>
    <w:pPr>
      <w:spacing w:after="120"/>
    </w:pPr>
    <w:rPr>
      <w:rFonts w:ascii="Times New Roman" w:hAnsi="Times New Roman"/>
      <w:kern w:val="0"/>
      <w:szCs w:val="21"/>
    </w:rPr>
  </w:style>
  <w:style w:type="paragraph" w:styleId="4">
    <w:name w:val="Body Text Indent"/>
    <w:basedOn w:val="1"/>
    <w:link w:val="16"/>
    <w:autoRedefine/>
    <w:semiHidden/>
    <w:unhideWhenUsed/>
    <w:qFormat/>
    <w:uiPriority w:val="99"/>
    <w:pPr>
      <w:spacing w:after="120"/>
      <w:ind w:left="420" w:leftChars="200"/>
    </w:pPr>
  </w:style>
  <w:style w:type="paragraph" w:styleId="5">
    <w:name w:val="Balloon Text"/>
    <w:basedOn w:val="1"/>
    <w:link w:val="19"/>
    <w:autoRedefine/>
    <w:semiHidden/>
    <w:unhideWhenUsed/>
    <w:qFormat/>
    <w:uiPriority w:val="99"/>
    <w:rPr>
      <w:sz w:val="18"/>
      <w:szCs w:val="18"/>
    </w:rPr>
  </w:style>
  <w:style w:type="paragraph" w:styleId="6">
    <w:name w:val="footer"/>
    <w:basedOn w:val="1"/>
    <w:link w:val="15"/>
    <w:autoRedefine/>
    <w:qFormat/>
    <w:uiPriority w:val="0"/>
    <w:pPr>
      <w:tabs>
        <w:tab w:val="center" w:pos="4153"/>
        <w:tab w:val="right" w:pos="8306"/>
      </w:tabs>
      <w:snapToGrid w:val="0"/>
      <w:jc w:val="left"/>
    </w:pPr>
    <w:rPr>
      <w:sz w:val="18"/>
    </w:rPr>
  </w:style>
  <w:style w:type="paragraph" w:styleId="7">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1"/>
    <w:next w:val="1"/>
    <w:autoRedefine/>
    <w:qFormat/>
    <w:uiPriority w:val="99"/>
    <w:pPr>
      <w:spacing w:after="120" w:line="275" w:lineRule="atLeast"/>
      <w:textAlignment w:val="baseline"/>
    </w:pPr>
  </w:style>
  <w:style w:type="paragraph" w:styleId="9">
    <w:name w:val="Body Text First Indent 2"/>
    <w:basedOn w:val="4"/>
    <w:link w:val="17"/>
    <w:autoRedefine/>
    <w:unhideWhenUsed/>
    <w:qFormat/>
    <w:uiPriority w:val="99"/>
    <w:pPr>
      <w:ind w:firstLine="420" w:firstLineChars="200"/>
    </w:pPr>
    <w:rPr>
      <w:rFonts w:ascii="Times New Roman" w:hAnsi="Times New Roman"/>
      <w:szCs w:val="20"/>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2 Char"/>
    <w:basedOn w:val="12"/>
    <w:link w:val="3"/>
    <w:autoRedefine/>
    <w:qFormat/>
    <w:uiPriority w:val="0"/>
    <w:rPr>
      <w:rFonts w:ascii="Cambria" w:hAnsi="Cambria"/>
      <w:b/>
      <w:bCs/>
      <w:kern w:val="2"/>
      <w:sz w:val="32"/>
      <w:szCs w:val="32"/>
    </w:rPr>
  </w:style>
  <w:style w:type="character" w:customStyle="1" w:styleId="14">
    <w:name w:val="正文文本 Char"/>
    <w:basedOn w:val="12"/>
    <w:link w:val="2"/>
    <w:autoRedefine/>
    <w:qFormat/>
    <w:uiPriority w:val="99"/>
    <w:rPr>
      <w:sz w:val="21"/>
      <w:szCs w:val="21"/>
    </w:rPr>
  </w:style>
  <w:style w:type="character" w:customStyle="1" w:styleId="15">
    <w:name w:val="页脚 Char"/>
    <w:basedOn w:val="12"/>
    <w:link w:val="6"/>
    <w:autoRedefine/>
    <w:qFormat/>
    <w:uiPriority w:val="0"/>
    <w:rPr>
      <w:rFonts w:ascii="Calibri" w:hAnsi="Calibri"/>
      <w:kern w:val="2"/>
      <w:sz w:val="18"/>
      <w:szCs w:val="22"/>
    </w:rPr>
  </w:style>
  <w:style w:type="character" w:customStyle="1" w:styleId="16">
    <w:name w:val="正文文本缩进 Char"/>
    <w:basedOn w:val="12"/>
    <w:link w:val="4"/>
    <w:autoRedefine/>
    <w:semiHidden/>
    <w:qFormat/>
    <w:uiPriority w:val="99"/>
    <w:rPr>
      <w:rFonts w:ascii="Calibri" w:hAnsi="Calibri"/>
      <w:kern w:val="2"/>
      <w:sz w:val="21"/>
      <w:szCs w:val="22"/>
    </w:rPr>
  </w:style>
  <w:style w:type="character" w:customStyle="1" w:styleId="17">
    <w:name w:val="正文首行缩进 2 Char"/>
    <w:basedOn w:val="16"/>
    <w:link w:val="9"/>
    <w:autoRedefine/>
    <w:qFormat/>
    <w:uiPriority w:val="99"/>
    <w:rPr>
      <w:rFonts w:ascii="Calibri" w:hAnsi="Calibri"/>
      <w:kern w:val="2"/>
      <w:sz w:val="21"/>
      <w:szCs w:val="22"/>
    </w:rPr>
  </w:style>
  <w:style w:type="character" w:customStyle="1" w:styleId="18">
    <w:name w:val="页眉 Char"/>
    <w:basedOn w:val="12"/>
    <w:link w:val="7"/>
    <w:autoRedefine/>
    <w:qFormat/>
    <w:uiPriority w:val="99"/>
    <w:rPr>
      <w:rFonts w:ascii="Calibri" w:hAnsi="Calibri"/>
      <w:kern w:val="2"/>
      <w:sz w:val="18"/>
      <w:szCs w:val="18"/>
    </w:rPr>
  </w:style>
  <w:style w:type="character" w:customStyle="1" w:styleId="19">
    <w:name w:val="批注框文本 Char"/>
    <w:basedOn w:val="12"/>
    <w:link w:val="5"/>
    <w:autoRedefine/>
    <w:semiHidden/>
    <w:qFormat/>
    <w:uiPriority w:val="99"/>
    <w:rPr>
      <w:rFonts w:ascii="Calibri" w:hAnsi="Calibri"/>
      <w:kern w:val="2"/>
      <w:sz w:val="18"/>
      <w:szCs w:val="18"/>
    </w:rPr>
  </w:style>
  <w:style w:type="character" w:customStyle="1" w:styleId="20">
    <w:name w:val="font21"/>
    <w:basedOn w:val="12"/>
    <w:autoRedefine/>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2028</Words>
  <Characters>2158</Characters>
  <Lines>20</Lines>
  <Paragraphs>5</Paragraphs>
  <TotalTime>1</TotalTime>
  <ScaleCrop>false</ScaleCrop>
  <LinksUpToDate>false</LinksUpToDate>
  <CharactersWithSpaces>2180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2022-10-08T08:56:00Z</dcterms:created>
  <dc:creator>核医学科医生办公室</dc:creator>
  <cp:lastModifiedBy>WPS_1668613672</cp:lastModifiedBy>
  <cp:lastPrinted>2024-03-18T09:18:00Z</cp:lastPrinted>
  <dcterms:modified xsi:type="dcterms:W3CDTF">2024-03-20T09:24:20Z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6FFB0D5E0F804BBA813360DC50F16F3B_13</vt:lpwstr>
  </property>
</Properties>
</file>