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0" w:beforeLines="650" w:line="480" w:lineRule="auto"/>
        <w:jc w:val="center"/>
        <w:rPr>
          <w:rFonts w:ascii="方正小标宋简体" w:eastAsia="方正小标宋简体"/>
          <w:bCs/>
          <w:sz w:val="48"/>
          <w:szCs w:val="48"/>
        </w:rPr>
      </w:pPr>
      <w:r>
        <w:rPr>
          <w:rFonts w:hint="eastAsia" w:ascii="方正小标宋简体" w:eastAsia="方正小标宋简体"/>
          <w:sz w:val="56"/>
          <w:szCs w:val="56"/>
        </w:rPr>
        <w:t>军队物资类项目竞争性谈判文件</w:t>
      </w:r>
    </w:p>
    <w:p>
      <w:pPr>
        <w:pStyle w:val="2"/>
        <w:jc w:val="both"/>
        <w:rPr>
          <w:rFonts w:hint="eastAsia" w:ascii="方正小标宋简体" w:eastAsia="方正小标宋简体"/>
          <w:b w:val="0"/>
          <w:sz w:val="84"/>
          <w:szCs w:val="84"/>
        </w:rPr>
      </w:pPr>
      <w:bookmarkStart w:id="0" w:name="_Toc128397940"/>
      <w:bookmarkStart w:id="1" w:name="_Toc132190594"/>
      <w:bookmarkStart w:id="2" w:name="_Toc128150016"/>
      <w:bookmarkStart w:id="3" w:name="_Toc130887460"/>
    </w:p>
    <w:p>
      <w:pPr>
        <w:pStyle w:val="2"/>
        <w:rPr>
          <w:rFonts w:ascii="方正小标宋简体" w:eastAsia="方正小标宋简体"/>
          <w:b w:val="0"/>
          <w:sz w:val="84"/>
          <w:szCs w:val="84"/>
        </w:rPr>
      </w:pPr>
      <w:bookmarkStart w:id="4" w:name="_Toc11693"/>
      <w:bookmarkStart w:id="5" w:name="_Toc29677"/>
      <w:r>
        <w:rPr>
          <w:rFonts w:hint="eastAsia" w:ascii="方正小标宋简体" w:eastAsia="方正小标宋简体"/>
          <w:b w:val="0"/>
          <w:sz w:val="84"/>
          <w:szCs w:val="84"/>
        </w:rPr>
        <w:t>通用文件</w:t>
      </w:r>
      <w:bookmarkEnd w:id="0"/>
      <w:bookmarkEnd w:id="1"/>
      <w:bookmarkEnd w:id="2"/>
      <w:bookmarkEnd w:id="3"/>
      <w:bookmarkEnd w:id="4"/>
      <w:bookmarkEnd w:id="5"/>
    </w:p>
    <w:p/>
    <w:p>
      <w:pPr>
        <w:pStyle w:val="16"/>
      </w:pPr>
    </w:p>
    <w:p/>
    <w:p>
      <w:pPr>
        <w:pStyle w:val="16"/>
      </w:pPr>
    </w:p>
    <w:p>
      <w:pPr>
        <w:pStyle w:val="17"/>
      </w:pPr>
    </w:p>
    <w:p/>
    <w:p/>
    <w:p>
      <w:pPr>
        <w:keepNext w:val="0"/>
        <w:keepLines w:val="0"/>
        <w:pageBreakBefore w:val="0"/>
        <w:widowControl w:val="0"/>
        <w:kinsoku/>
        <w:wordWrap/>
        <w:overflowPunct/>
        <w:topLinePunct w:val="0"/>
        <w:autoSpaceDE/>
        <w:autoSpaceDN/>
        <w:bidi w:val="0"/>
        <w:adjustRightInd/>
        <w:snapToGrid/>
        <w:spacing w:line="560" w:lineRule="exact"/>
        <w:ind w:firstLine="2160" w:firstLineChars="600"/>
        <w:jc w:val="both"/>
        <w:textAlignment w:val="auto"/>
        <w:rPr>
          <w:rFonts w:hint="default" w:ascii="Times New Roman" w:hAnsi="Times New Roman" w:eastAsia="宋体" w:cs="Times New Roman"/>
          <w:b w:val="0"/>
          <w:bCs/>
          <w:color w:val="auto"/>
          <w:sz w:val="36"/>
          <w:szCs w:val="36"/>
          <w:u w:val="single"/>
          <w:lang w:val="en-US" w:eastAsia="zh-CN"/>
        </w:rPr>
      </w:pPr>
      <w:r>
        <w:rPr>
          <w:rFonts w:ascii="Times New Roman" w:hAnsi="Times New Roman" w:eastAsia="宋体" w:cs="Times New Roman"/>
          <w:b w:val="0"/>
          <w:bCs/>
          <w:color w:val="auto"/>
          <w:sz w:val="36"/>
          <w:szCs w:val="36"/>
        </w:rPr>
        <w:t>项目名称：</w:t>
      </w:r>
      <w:r>
        <w:rPr>
          <w:rFonts w:hint="eastAsia" w:ascii="Times New Roman" w:hAnsi="Times New Roman" w:eastAsia="宋体" w:cs="Times New Roman"/>
          <w:b w:val="0"/>
          <w:bCs/>
          <w:color w:val="auto"/>
          <w:sz w:val="36"/>
          <w:szCs w:val="36"/>
          <w:u w:val="single"/>
          <w:lang w:val="en-US" w:eastAsia="zh-CN"/>
        </w:rPr>
        <w:t>手术头架及牵开系统</w:t>
      </w:r>
    </w:p>
    <w:p>
      <w:pPr>
        <w:keepNext w:val="0"/>
        <w:keepLines w:val="0"/>
        <w:pageBreakBefore w:val="0"/>
        <w:widowControl w:val="0"/>
        <w:kinsoku/>
        <w:wordWrap/>
        <w:overflowPunct/>
        <w:topLinePunct w:val="0"/>
        <w:autoSpaceDE/>
        <w:autoSpaceDN/>
        <w:bidi w:val="0"/>
        <w:adjustRightInd/>
        <w:snapToGrid/>
        <w:spacing w:line="560" w:lineRule="exact"/>
        <w:ind w:firstLine="2160" w:firstLineChars="600"/>
        <w:jc w:val="both"/>
        <w:textAlignment w:val="auto"/>
        <w:rPr>
          <w:rFonts w:hint="default" w:ascii="Times New Roman" w:hAnsi="Times New Roman" w:eastAsia="宋体" w:cs="Times New Roman"/>
          <w:b w:val="0"/>
          <w:bCs/>
          <w:color w:val="auto"/>
          <w:sz w:val="36"/>
          <w:szCs w:val="36"/>
          <w:u w:val="single"/>
          <w:lang w:val="en-US" w:eastAsia="zh-CN"/>
        </w:rPr>
      </w:pPr>
      <w:r>
        <w:rPr>
          <w:rFonts w:ascii="Times New Roman" w:hAnsi="Times New Roman" w:eastAsia="宋体" w:cs="Times New Roman"/>
          <w:b w:val="0"/>
          <w:bCs/>
          <w:color w:val="auto"/>
          <w:sz w:val="36"/>
          <w:szCs w:val="36"/>
        </w:rPr>
        <w:t>项目编号：</w:t>
      </w:r>
      <w:r>
        <w:rPr>
          <w:rFonts w:hint="eastAsia" w:ascii="Times New Roman" w:hAnsi="Times New Roman" w:eastAsia="宋体" w:cs="Times New Roman"/>
          <w:b w:val="0"/>
          <w:bCs/>
          <w:color w:val="auto"/>
          <w:sz w:val="36"/>
          <w:szCs w:val="36"/>
          <w:u w:val="single"/>
          <w:lang w:val="en-US" w:eastAsia="zh-CN"/>
        </w:rPr>
        <w:t>2024-JL13(04)-W30005</w:t>
      </w:r>
    </w:p>
    <w:p>
      <w:pPr>
        <w:keepNext w:val="0"/>
        <w:keepLines w:val="0"/>
        <w:pageBreakBefore w:val="0"/>
        <w:widowControl w:val="0"/>
        <w:kinsoku/>
        <w:wordWrap/>
        <w:overflowPunct/>
        <w:topLinePunct w:val="0"/>
        <w:autoSpaceDE/>
        <w:autoSpaceDN/>
        <w:bidi w:val="0"/>
        <w:adjustRightInd/>
        <w:snapToGrid/>
        <w:spacing w:line="560" w:lineRule="exact"/>
        <w:ind w:firstLine="2160" w:firstLineChars="600"/>
        <w:textAlignment w:val="auto"/>
        <w:rPr>
          <w:rFonts w:ascii="Times New Roman" w:hAnsi="Times New Roman" w:eastAsia="宋体" w:cs="Times New Roman"/>
          <w:b w:val="0"/>
          <w:bCs/>
          <w:color w:val="auto"/>
          <w:sz w:val="36"/>
          <w:szCs w:val="36"/>
        </w:rPr>
      </w:pPr>
      <w:r>
        <w:rPr>
          <w:rFonts w:ascii="Times New Roman" w:hAnsi="Times New Roman" w:eastAsia="宋体" w:cs="Times New Roman"/>
          <w:b w:val="0"/>
          <w:bCs/>
          <w:color w:val="auto"/>
          <w:sz w:val="36"/>
          <w:szCs w:val="36"/>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2160" w:firstLineChars="600"/>
        <w:textAlignment w:val="auto"/>
        <w:rPr>
          <w:rFonts w:ascii="Times New Roman" w:hAnsi="Times New Roman" w:eastAsia="宋体" w:cs="Times New Roman"/>
          <w:b w:val="0"/>
          <w:bCs/>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2160" w:firstLineChars="600"/>
        <w:textAlignment w:val="auto"/>
        <w:rPr>
          <w:rFonts w:ascii="Times New Roman" w:hAnsi="Times New Roman" w:eastAsia="宋体" w:cs="Times New Roman"/>
          <w:b w:val="0"/>
          <w:bCs/>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宋体" w:cs="Times New Roman"/>
          <w:b w:val="0"/>
          <w:bCs/>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b w:val="0"/>
          <w:bCs/>
          <w:color w:val="auto"/>
          <w:sz w:val="36"/>
          <w:szCs w:val="36"/>
          <w:lang w:val="en-US" w:eastAsia="zh-CN"/>
        </w:rPr>
      </w:pPr>
      <w:r>
        <w:rPr>
          <w:rFonts w:hint="eastAsia" w:ascii="Times New Roman" w:hAnsi="Times New Roman" w:eastAsia="宋体" w:cs="Times New Roman"/>
          <w:b w:val="0"/>
          <w:bCs/>
          <w:color w:val="auto"/>
          <w:sz w:val="36"/>
          <w:szCs w:val="36"/>
          <w:u w:val="single"/>
          <w:lang w:val="en-US" w:eastAsia="zh-CN"/>
        </w:rPr>
        <w:t>物资采购中心</w:t>
      </w:r>
    </w:p>
    <w:p>
      <w:pPr>
        <w:keepNext w:val="0"/>
        <w:keepLines w:val="0"/>
        <w:pageBreakBefore w:val="0"/>
        <w:widowControl w:val="0"/>
        <w:kinsoku/>
        <w:wordWrap/>
        <w:overflowPunct/>
        <w:topLinePunct w:val="0"/>
        <w:autoSpaceDE/>
        <w:autoSpaceDN/>
        <w:bidi w:val="0"/>
        <w:adjustRightInd/>
        <w:snapToGrid/>
        <w:spacing w:line="560" w:lineRule="exact"/>
        <w:ind w:firstLine="2160" w:firstLineChars="600"/>
        <w:textAlignment w:val="auto"/>
        <w:rPr>
          <w:rFonts w:ascii="Times New Roman" w:hAnsi="Times New Roman" w:eastAsia="宋体" w:cs="Times New Roman"/>
          <w:b w:val="0"/>
          <w:bCs/>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宋体" w:cs="Times New Roman"/>
          <w:b w:val="0"/>
          <w:bCs/>
          <w:color w:val="auto"/>
          <w:sz w:val="36"/>
          <w:szCs w:val="36"/>
        </w:rPr>
      </w:pPr>
      <w:r>
        <w:rPr>
          <w:rFonts w:hint="eastAsia" w:ascii="Times New Roman" w:hAnsi="Times New Roman" w:eastAsia="宋体" w:cs="Times New Roman"/>
          <w:b w:val="0"/>
          <w:bCs/>
          <w:color w:val="auto"/>
          <w:sz w:val="36"/>
          <w:szCs w:val="36"/>
          <w:lang w:val="en-US" w:eastAsia="zh-CN"/>
        </w:rPr>
        <w:t>202</w:t>
      </w:r>
      <w:r>
        <w:rPr>
          <w:rFonts w:hint="eastAsia" w:cs="Times New Roman"/>
          <w:b w:val="0"/>
          <w:bCs/>
          <w:color w:val="auto"/>
          <w:sz w:val="36"/>
          <w:szCs w:val="36"/>
          <w:lang w:val="en-US" w:eastAsia="zh-CN"/>
        </w:rPr>
        <w:t>4</w:t>
      </w:r>
      <w:r>
        <w:rPr>
          <w:rFonts w:ascii="Times New Roman" w:hAnsi="Times New Roman" w:eastAsia="宋体" w:cs="Times New Roman"/>
          <w:b w:val="0"/>
          <w:bCs/>
          <w:color w:val="auto"/>
          <w:sz w:val="36"/>
          <w:szCs w:val="36"/>
        </w:rPr>
        <w:t>年</w:t>
      </w:r>
    </w:p>
    <w:p>
      <w:pPr>
        <w:keepNext w:val="0"/>
        <w:keepLines w:val="0"/>
        <w:pageBreakBefore w:val="0"/>
        <w:widowControl w:val="0"/>
        <w:kinsoku/>
        <w:wordWrap/>
        <w:overflowPunct/>
        <w:topLinePunct w:val="0"/>
        <w:autoSpaceDE/>
        <w:autoSpaceDN/>
        <w:bidi w:val="0"/>
        <w:adjustRightInd/>
        <w:snapToGrid/>
        <w:spacing w:line="560" w:lineRule="exact"/>
        <w:ind w:firstLine="2160" w:firstLineChars="600"/>
        <w:textAlignment w:val="auto"/>
        <w:rPr>
          <w:rFonts w:hint="eastAsia" w:ascii="Times New Roman" w:hAnsi="Times New Roman" w:eastAsia="宋体" w:cs="Times New Roman"/>
          <w:b w:val="0"/>
          <w:bCs/>
          <w:color w:val="auto"/>
          <w:sz w:val="36"/>
          <w:szCs w:val="36"/>
        </w:rPr>
        <w:sectPr>
          <w:headerReference r:id="rId5" w:type="first"/>
          <w:headerReference r:id="rId3" w:type="default"/>
          <w:headerReference r:id="rId4" w:type="even"/>
          <w:pgSz w:w="11906" w:h="16838"/>
          <w:pgMar w:top="1418" w:right="1134" w:bottom="1418" w:left="1418" w:header="851" w:footer="851" w:gutter="0"/>
          <w:cols w:space="720" w:num="1"/>
        </w:sectPr>
      </w:pPr>
      <w:r>
        <w:rPr>
          <w:rFonts w:hint="eastAsia" w:ascii="Times New Roman" w:hAnsi="Times New Roman" w:eastAsia="宋体" w:cs="Times New Roman"/>
          <w:b w:val="0"/>
          <w:bCs/>
          <w:color w:val="auto"/>
          <w:sz w:val="36"/>
          <w:szCs w:val="36"/>
        </w:rPr>
        <w:br w:type="page"/>
      </w:r>
    </w:p>
    <w:p>
      <w:pPr>
        <w:keepNext w:val="0"/>
        <w:keepLines w:val="0"/>
        <w:pageBreakBefore w:val="0"/>
        <w:widowControl w:val="0"/>
        <w:kinsoku/>
        <w:wordWrap/>
        <w:overflowPunct/>
        <w:topLinePunct w:val="0"/>
        <w:autoSpaceDE/>
        <w:autoSpaceDN/>
        <w:bidi w:val="0"/>
        <w:adjustRightInd/>
        <w:snapToGrid/>
        <w:spacing w:before="0" w:after="0" w:afterLines="100" w:line="560" w:lineRule="exact"/>
        <w:jc w:val="center"/>
        <w:textAlignment w:val="auto"/>
        <w:rPr>
          <w:rFonts w:ascii="仿宋_GB2312" w:eastAsia="仿宋_GB2312"/>
          <w:b w:val="0"/>
          <w:bCs/>
          <w:color w:val="auto"/>
          <w:sz w:val="36"/>
          <w:szCs w:val="36"/>
        </w:rPr>
      </w:pPr>
      <w:r>
        <w:rPr>
          <w:rFonts w:hint="eastAsia"/>
          <w:b w:val="0"/>
          <w:bCs/>
          <w:sz w:val="36"/>
          <w:szCs w:val="36"/>
        </w:rPr>
        <w:t>特别提示：</w:t>
      </w:r>
      <w:r>
        <w:rPr>
          <w:rFonts w:hint="eastAsia"/>
          <w:b w:val="0"/>
          <w:bCs/>
          <w:sz w:val="36"/>
          <w:szCs w:val="36"/>
          <w:lang w:eastAsia="zh-CN"/>
        </w:rPr>
        <w:t>报价</w:t>
      </w:r>
      <w:r>
        <w:rPr>
          <w:rFonts w:hint="eastAsia"/>
          <w:b w:val="0"/>
          <w:bCs/>
          <w:sz w:val="36"/>
          <w:szCs w:val="36"/>
        </w:rPr>
        <w:t>注意事项</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一、</w:t>
      </w:r>
      <w:r>
        <w:rPr>
          <w:rFonts w:hint="eastAsia" w:ascii="仿宋_GB2312" w:eastAsia="仿宋_GB2312"/>
          <w:b w:val="0"/>
          <w:bCs/>
          <w:color w:val="auto"/>
          <w:szCs w:val="28"/>
          <w:lang w:eastAsia="zh-CN"/>
        </w:rPr>
        <w:t>报价</w:t>
      </w:r>
      <w:r>
        <w:rPr>
          <w:rFonts w:hint="eastAsia" w:ascii="仿宋_GB2312" w:eastAsia="仿宋_GB2312"/>
          <w:b w:val="0"/>
          <w:bCs/>
          <w:color w:val="auto"/>
          <w:szCs w:val="28"/>
        </w:rPr>
        <w:t>供应商应当诚实守信,不得虚假</w:t>
      </w:r>
      <w:r>
        <w:rPr>
          <w:rFonts w:hint="eastAsia" w:ascii="仿宋_GB2312" w:eastAsia="仿宋_GB2312"/>
          <w:b w:val="0"/>
          <w:bCs/>
          <w:color w:val="auto"/>
          <w:szCs w:val="28"/>
          <w:lang w:eastAsia="zh-CN"/>
        </w:rPr>
        <w:t>报价</w:t>
      </w:r>
      <w:r>
        <w:rPr>
          <w:rFonts w:hint="eastAsia" w:ascii="仿宋_GB2312" w:eastAsia="仿宋_GB2312"/>
          <w:b w:val="0"/>
          <w:bCs/>
          <w:color w:val="auto"/>
          <w:szCs w:val="28"/>
        </w:rPr>
        <w:t>。请认真阅读通用部分第三章</w:t>
      </w:r>
      <w:r>
        <w:rPr>
          <w:rFonts w:hint="eastAsia" w:ascii="仿宋_GB2312" w:eastAsia="仿宋_GB2312"/>
          <w:b w:val="0"/>
          <w:bCs/>
          <w:color w:val="auto"/>
          <w:szCs w:val="28"/>
          <w:lang w:eastAsia="zh-CN"/>
        </w:rPr>
        <w:t>报价</w:t>
      </w:r>
      <w:r>
        <w:rPr>
          <w:rFonts w:hint="eastAsia" w:ascii="仿宋_GB2312" w:eastAsia="仿宋_GB2312"/>
          <w:b w:val="0"/>
          <w:bCs/>
          <w:color w:val="auto"/>
          <w:szCs w:val="28"/>
        </w:rPr>
        <w:t>文件内容及格式中“供应商承诺声明”，并签字确认。评审委员会和采购机构视情核实</w:t>
      </w:r>
      <w:r>
        <w:rPr>
          <w:rFonts w:hint="eastAsia" w:ascii="仿宋_GB2312" w:eastAsia="仿宋_GB2312"/>
          <w:b w:val="0"/>
          <w:bCs/>
          <w:color w:val="auto"/>
          <w:szCs w:val="28"/>
          <w:lang w:eastAsia="zh-CN"/>
        </w:rPr>
        <w:t>报价</w:t>
      </w:r>
      <w:r>
        <w:rPr>
          <w:rFonts w:hint="eastAsia" w:ascii="仿宋_GB2312" w:eastAsia="仿宋_GB2312"/>
          <w:b w:val="0"/>
          <w:bCs/>
          <w:color w:val="auto"/>
          <w:szCs w:val="28"/>
        </w:rPr>
        <w:t>资料真伪，一经核实虚假</w:t>
      </w:r>
      <w:r>
        <w:rPr>
          <w:rFonts w:hint="eastAsia" w:ascii="仿宋_GB2312" w:eastAsia="仿宋_GB2312"/>
          <w:b w:val="0"/>
          <w:bCs/>
          <w:color w:val="auto"/>
          <w:szCs w:val="28"/>
          <w:lang w:eastAsia="zh-CN"/>
        </w:rPr>
        <w:t>报价</w:t>
      </w:r>
      <w:r>
        <w:rPr>
          <w:rFonts w:hint="eastAsia" w:ascii="仿宋_GB2312" w:eastAsia="仿宋_GB2312"/>
          <w:b w:val="0"/>
          <w:bCs/>
          <w:color w:val="auto"/>
          <w:szCs w:val="28"/>
        </w:rPr>
        <w:t>行为，将按照无效</w:t>
      </w:r>
      <w:r>
        <w:rPr>
          <w:rFonts w:hint="eastAsia" w:ascii="仿宋_GB2312" w:eastAsia="仿宋_GB2312"/>
          <w:b w:val="0"/>
          <w:bCs/>
          <w:color w:val="auto"/>
          <w:szCs w:val="28"/>
          <w:lang w:eastAsia="zh-CN"/>
        </w:rPr>
        <w:t>报价</w:t>
      </w:r>
      <w:r>
        <w:rPr>
          <w:rFonts w:hint="eastAsia" w:ascii="仿宋_GB2312" w:eastAsia="仿宋_GB2312"/>
          <w:b w:val="0"/>
          <w:bCs/>
          <w:color w:val="auto"/>
          <w:szCs w:val="28"/>
        </w:rPr>
        <w:t>处理，并依法依规予以处罚，将违规情形报告采购管理部门。</w:t>
      </w:r>
    </w:p>
    <w:p>
      <w:pPr>
        <w:pStyle w:val="114"/>
        <w:spacing w:line="560" w:lineRule="exact"/>
        <w:ind w:firstLine="560" w:firstLineChars="200"/>
        <w:jc w:val="both"/>
        <w:textAlignment w:val="auto"/>
        <w:rPr>
          <w:rFonts w:hint="eastAsia" w:ascii="仿宋_GB2312" w:eastAsia="仿宋_GB2312"/>
          <w:b w:val="0"/>
          <w:bCs/>
          <w:color w:val="auto"/>
          <w:szCs w:val="28"/>
          <w:lang w:val="en-US" w:eastAsia="zh-CN"/>
        </w:rPr>
      </w:pPr>
      <w:r>
        <w:rPr>
          <w:rFonts w:hint="eastAsia" w:ascii="仿宋_GB2312" w:eastAsia="仿宋_GB2312"/>
          <w:b w:val="0"/>
          <w:bCs/>
          <w:color w:val="auto"/>
          <w:szCs w:val="28"/>
        </w:rPr>
        <w:t>二、</w:t>
      </w:r>
      <w:r>
        <w:rPr>
          <w:rFonts w:hint="eastAsia" w:ascii="仿宋_GB2312" w:eastAsia="仿宋_GB2312"/>
          <w:b w:val="0"/>
          <w:bCs/>
          <w:color w:val="auto"/>
          <w:szCs w:val="28"/>
          <w:lang w:eastAsia="zh-CN"/>
        </w:rPr>
        <w:t>报价</w:t>
      </w:r>
      <w:r>
        <w:rPr>
          <w:rFonts w:hint="eastAsia" w:ascii="仿宋_GB2312" w:eastAsia="仿宋_GB2312"/>
          <w:b w:val="0"/>
          <w:bCs/>
          <w:color w:val="auto"/>
          <w:szCs w:val="28"/>
        </w:rPr>
        <w:t>供应商应当特别留意</w:t>
      </w:r>
      <w:r>
        <w:rPr>
          <w:rFonts w:hint="eastAsia" w:ascii="仿宋_GB2312" w:eastAsia="仿宋_GB2312"/>
          <w:b w:val="0"/>
          <w:bCs/>
          <w:color w:val="auto"/>
          <w:szCs w:val="28"/>
          <w:lang w:eastAsia="zh-CN"/>
        </w:rPr>
        <w:t>谈判</w:t>
      </w:r>
      <w:r>
        <w:rPr>
          <w:rFonts w:hint="eastAsia" w:ascii="仿宋_GB2312" w:eastAsia="仿宋_GB2312"/>
          <w:b w:val="0"/>
          <w:bCs/>
          <w:color w:val="auto"/>
          <w:szCs w:val="28"/>
        </w:rPr>
        <w:t>文件上载明的</w:t>
      </w:r>
      <w:r>
        <w:rPr>
          <w:rFonts w:hint="eastAsia" w:ascii="仿宋_GB2312" w:eastAsia="仿宋_GB2312"/>
          <w:b w:val="0"/>
          <w:bCs/>
          <w:color w:val="auto"/>
          <w:szCs w:val="28"/>
          <w:lang w:eastAsia="zh-CN"/>
        </w:rPr>
        <w:t>报价</w:t>
      </w:r>
      <w:r>
        <w:rPr>
          <w:rFonts w:hint="eastAsia" w:ascii="仿宋_GB2312" w:eastAsia="仿宋_GB2312"/>
          <w:b w:val="0"/>
          <w:bCs/>
          <w:color w:val="auto"/>
          <w:szCs w:val="28"/>
        </w:rPr>
        <w:t>起始截止时间，提前或逾期送达的</w:t>
      </w:r>
      <w:r>
        <w:rPr>
          <w:rFonts w:hint="eastAsia" w:ascii="仿宋_GB2312" w:eastAsia="仿宋_GB2312"/>
          <w:b w:val="0"/>
          <w:bCs/>
          <w:color w:val="auto"/>
          <w:szCs w:val="28"/>
          <w:lang w:eastAsia="zh-CN"/>
        </w:rPr>
        <w:t>报价</w:t>
      </w:r>
      <w:r>
        <w:rPr>
          <w:rFonts w:hint="eastAsia" w:ascii="仿宋_GB2312" w:eastAsia="仿宋_GB2312"/>
          <w:b w:val="0"/>
          <w:bCs/>
          <w:color w:val="auto"/>
          <w:szCs w:val="28"/>
        </w:rPr>
        <w:t>文件将被拒收，</w:t>
      </w:r>
      <w:r>
        <w:rPr>
          <w:rFonts w:hint="eastAsia" w:ascii="仿宋_GB2312" w:eastAsia="仿宋_GB2312"/>
          <w:b w:val="0"/>
          <w:bCs/>
          <w:color w:val="auto"/>
          <w:szCs w:val="28"/>
          <w:lang w:eastAsia="zh-CN"/>
        </w:rPr>
        <w:t>报价</w:t>
      </w:r>
      <w:r>
        <w:rPr>
          <w:rFonts w:hint="eastAsia" w:ascii="仿宋_GB2312" w:eastAsia="仿宋_GB2312"/>
          <w:b w:val="0"/>
          <w:bCs/>
          <w:color w:val="auto"/>
          <w:szCs w:val="28"/>
        </w:rPr>
        <w:t>时授权代表须随身携带身份证、法定代表人授权证明</w:t>
      </w:r>
      <w:r>
        <w:rPr>
          <w:rFonts w:hint="eastAsia" w:ascii="仿宋_GB2312" w:eastAsia="仿宋_GB2312"/>
          <w:b w:val="0"/>
          <w:bCs/>
          <w:color w:val="auto"/>
          <w:szCs w:val="28"/>
          <w:lang w:val="en-US" w:eastAsia="zh-CN"/>
        </w:rPr>
        <w:t>和授权代表</w:t>
      </w:r>
      <w:r>
        <w:rPr>
          <w:rFonts w:hint="eastAsia" w:ascii="仿宋_GB2312" w:eastAsia="仿宋_GB2312"/>
          <w:b/>
          <w:bCs w:val="0"/>
          <w:color w:val="auto"/>
          <w:szCs w:val="28"/>
          <w:lang w:val="en-US" w:eastAsia="zh-CN"/>
        </w:rPr>
        <w:t>在报价前4个月内（不含报价当月）连续3个月由报价供应商缴纳社保证明材料。代缴社保证明材料不予认可。</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三、</w:t>
      </w:r>
      <w:r>
        <w:rPr>
          <w:rFonts w:hint="eastAsia" w:ascii="仿宋_GB2312" w:eastAsia="仿宋_GB2312"/>
          <w:b w:val="0"/>
          <w:bCs/>
          <w:color w:val="auto"/>
          <w:szCs w:val="28"/>
          <w:lang w:eastAsia="zh-CN"/>
        </w:rPr>
        <w:t>报价</w:t>
      </w:r>
      <w:r>
        <w:rPr>
          <w:rFonts w:hint="eastAsia" w:ascii="仿宋_GB2312" w:eastAsia="仿宋_GB2312"/>
          <w:b w:val="0"/>
          <w:bCs/>
          <w:color w:val="auto"/>
          <w:szCs w:val="28"/>
        </w:rPr>
        <w:t>供应商以汇款或银行保函形式缴纳</w:t>
      </w:r>
      <w:r>
        <w:rPr>
          <w:rFonts w:hint="eastAsia" w:ascii="仿宋_GB2312" w:eastAsia="仿宋_GB2312"/>
          <w:b w:val="0"/>
          <w:bCs/>
          <w:color w:val="auto"/>
          <w:szCs w:val="28"/>
          <w:lang w:eastAsia="zh-CN"/>
        </w:rPr>
        <w:t>谈判</w:t>
      </w:r>
      <w:r>
        <w:rPr>
          <w:rFonts w:hint="eastAsia" w:ascii="仿宋_GB2312" w:eastAsia="仿宋_GB2312"/>
          <w:b w:val="0"/>
          <w:bCs/>
          <w:color w:val="auto"/>
          <w:szCs w:val="28"/>
        </w:rPr>
        <w:t>保证金，保证金应当由其银行账户汇出并在</w:t>
      </w:r>
      <w:r>
        <w:rPr>
          <w:rFonts w:hint="eastAsia" w:ascii="仿宋_GB2312" w:eastAsia="仿宋_GB2312"/>
          <w:b w:val="0"/>
          <w:bCs/>
          <w:color w:val="auto"/>
          <w:szCs w:val="28"/>
          <w:lang w:eastAsia="zh-CN"/>
        </w:rPr>
        <w:t>报价</w:t>
      </w:r>
      <w:r>
        <w:rPr>
          <w:rFonts w:hint="eastAsia" w:ascii="仿宋_GB2312" w:eastAsia="仿宋_GB2312"/>
          <w:b w:val="0"/>
          <w:bCs/>
          <w:color w:val="auto"/>
          <w:szCs w:val="28"/>
        </w:rPr>
        <w:t>截止时间前到达采购机构指定账户。未按规定提交</w:t>
      </w:r>
      <w:r>
        <w:rPr>
          <w:rFonts w:hint="eastAsia" w:ascii="仿宋_GB2312" w:eastAsia="仿宋_GB2312"/>
          <w:b w:val="0"/>
          <w:bCs/>
          <w:color w:val="auto"/>
          <w:szCs w:val="28"/>
          <w:lang w:eastAsia="zh-CN"/>
        </w:rPr>
        <w:t>谈判</w:t>
      </w:r>
      <w:r>
        <w:rPr>
          <w:rFonts w:hint="eastAsia" w:ascii="仿宋_GB2312" w:eastAsia="仿宋_GB2312"/>
          <w:b w:val="0"/>
          <w:bCs/>
          <w:color w:val="auto"/>
          <w:szCs w:val="28"/>
        </w:rPr>
        <w:t>保证金或保函的，</w:t>
      </w:r>
      <w:r>
        <w:rPr>
          <w:rFonts w:hint="eastAsia" w:ascii="仿宋_GB2312" w:eastAsia="仿宋_GB2312"/>
          <w:b w:val="0"/>
          <w:bCs/>
          <w:color w:val="auto"/>
          <w:szCs w:val="28"/>
          <w:lang w:eastAsia="zh-CN"/>
        </w:rPr>
        <w:t>报价</w:t>
      </w:r>
      <w:r>
        <w:rPr>
          <w:rFonts w:hint="eastAsia" w:ascii="仿宋_GB2312" w:eastAsia="仿宋_GB2312"/>
          <w:b w:val="0"/>
          <w:bCs/>
          <w:color w:val="auto"/>
          <w:szCs w:val="28"/>
        </w:rPr>
        <w:t>无效。</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四、请仔细检查</w:t>
      </w:r>
      <w:r>
        <w:rPr>
          <w:rFonts w:hint="eastAsia" w:ascii="仿宋_GB2312" w:eastAsia="仿宋_GB2312"/>
          <w:b w:val="0"/>
          <w:bCs/>
          <w:color w:val="auto"/>
          <w:szCs w:val="28"/>
          <w:lang w:eastAsia="zh-CN"/>
        </w:rPr>
        <w:t>谈判</w:t>
      </w:r>
      <w:r>
        <w:rPr>
          <w:rFonts w:hint="eastAsia" w:ascii="仿宋_GB2312" w:eastAsia="仿宋_GB2312"/>
          <w:b w:val="0"/>
          <w:bCs/>
          <w:color w:val="auto"/>
          <w:szCs w:val="28"/>
        </w:rPr>
        <w:t>文件要求提交相关证书的有效期。</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五、请仔细检查</w:t>
      </w:r>
      <w:r>
        <w:rPr>
          <w:rFonts w:hint="eastAsia" w:ascii="仿宋_GB2312" w:eastAsia="仿宋_GB2312"/>
          <w:b w:val="0"/>
          <w:bCs/>
          <w:color w:val="auto"/>
          <w:szCs w:val="28"/>
          <w:lang w:eastAsia="zh-CN"/>
        </w:rPr>
        <w:t>报价</w:t>
      </w:r>
      <w:r>
        <w:rPr>
          <w:rFonts w:hint="eastAsia" w:ascii="仿宋_GB2312" w:eastAsia="仿宋_GB2312"/>
          <w:b w:val="0"/>
          <w:bCs/>
          <w:color w:val="auto"/>
          <w:szCs w:val="28"/>
        </w:rPr>
        <w:t>文件是否按要求盖单位公章、签名、签署日期、胶装成册、密封。</w:t>
      </w:r>
      <w:r>
        <w:rPr>
          <w:rFonts w:hint="eastAsia" w:ascii="仿宋_GB2312" w:eastAsia="仿宋_GB2312"/>
          <w:b w:val="0"/>
          <w:bCs/>
          <w:color w:val="auto"/>
          <w:szCs w:val="28"/>
          <w:lang w:eastAsia="zh-CN"/>
        </w:rPr>
        <w:t>报价</w:t>
      </w:r>
      <w:r>
        <w:rPr>
          <w:rFonts w:hint="eastAsia" w:ascii="仿宋_GB2312" w:eastAsia="仿宋_GB2312"/>
          <w:b w:val="0"/>
          <w:bCs/>
          <w:color w:val="auto"/>
          <w:szCs w:val="28"/>
        </w:rPr>
        <w:t>文件需要法定代表人签名处可以签字或盖章（签名章和方章均可），需要</w:t>
      </w:r>
      <w:r>
        <w:rPr>
          <w:rFonts w:hint="eastAsia" w:ascii="仿宋_GB2312" w:eastAsia="仿宋_GB2312"/>
          <w:b w:val="0"/>
          <w:bCs/>
          <w:color w:val="auto"/>
          <w:szCs w:val="28"/>
          <w:lang w:eastAsia="zh-CN"/>
        </w:rPr>
        <w:t>报价</w:t>
      </w:r>
      <w:r>
        <w:rPr>
          <w:rFonts w:hint="eastAsia" w:ascii="仿宋_GB2312" w:eastAsia="仿宋_GB2312"/>
          <w:b w:val="0"/>
          <w:bCs/>
          <w:color w:val="auto"/>
          <w:szCs w:val="28"/>
        </w:rPr>
        <w:t>授权代表签名处须签字。</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六、带“★”号条款均为实质性响应指标要求，必须全部响应。若有一项带“★”条款未响应或不满足，均视为非实质性响应</w:t>
      </w:r>
      <w:r>
        <w:rPr>
          <w:rFonts w:hint="eastAsia" w:ascii="仿宋_GB2312" w:eastAsia="仿宋_GB2312"/>
          <w:b w:val="0"/>
          <w:bCs/>
          <w:color w:val="auto"/>
          <w:szCs w:val="28"/>
          <w:lang w:eastAsia="zh-CN"/>
        </w:rPr>
        <w:t>谈判</w:t>
      </w:r>
      <w:r>
        <w:rPr>
          <w:rFonts w:hint="eastAsia" w:ascii="仿宋_GB2312" w:eastAsia="仿宋_GB2312"/>
          <w:b w:val="0"/>
          <w:bCs/>
          <w:color w:val="auto"/>
          <w:szCs w:val="28"/>
        </w:rPr>
        <w:t>文件，按无效</w:t>
      </w:r>
      <w:r>
        <w:rPr>
          <w:rFonts w:hint="eastAsia" w:ascii="仿宋_GB2312" w:eastAsia="仿宋_GB2312"/>
          <w:b w:val="0"/>
          <w:bCs/>
          <w:color w:val="auto"/>
          <w:szCs w:val="28"/>
          <w:lang w:eastAsia="zh-CN"/>
        </w:rPr>
        <w:t>报价</w:t>
      </w:r>
      <w:r>
        <w:rPr>
          <w:rFonts w:hint="eastAsia" w:ascii="仿宋_GB2312" w:eastAsia="仿宋_GB2312"/>
          <w:b w:val="0"/>
          <w:bCs/>
          <w:color w:val="auto"/>
          <w:szCs w:val="28"/>
        </w:rPr>
        <w:t>处理。</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七、《价格文件》一式三份，单独密封在一个信封内，信封表面标明“价格文件”“开标时启封”字样，注明“</w:t>
      </w:r>
      <w:r>
        <w:rPr>
          <w:rFonts w:hint="eastAsia" w:ascii="仿宋_GB2312" w:eastAsia="仿宋_GB2312"/>
          <w:b w:val="0"/>
          <w:bCs/>
          <w:color w:val="auto"/>
          <w:szCs w:val="28"/>
          <w:lang w:eastAsia="zh-CN"/>
        </w:rPr>
        <w:t>报价</w:t>
      </w:r>
      <w:r>
        <w:rPr>
          <w:rFonts w:hint="eastAsia" w:ascii="仿宋_GB2312" w:eastAsia="仿宋_GB2312"/>
          <w:b w:val="0"/>
          <w:bCs/>
          <w:color w:val="auto"/>
          <w:szCs w:val="28"/>
        </w:rPr>
        <w:t>供应商名称”“项目名称”“项目编号”“包号”等信息，</w:t>
      </w:r>
      <w:r>
        <w:rPr>
          <w:rFonts w:hint="eastAsia" w:ascii="仿宋_GB2312" w:eastAsia="仿宋_GB2312"/>
          <w:b w:val="0"/>
          <w:bCs/>
          <w:color w:val="auto"/>
          <w:szCs w:val="28"/>
          <w:lang w:eastAsia="zh-CN"/>
        </w:rPr>
        <w:t>报价</w:t>
      </w:r>
      <w:r>
        <w:rPr>
          <w:rFonts w:hint="eastAsia" w:ascii="仿宋_GB2312" w:eastAsia="仿宋_GB2312"/>
          <w:b w:val="0"/>
          <w:bCs/>
          <w:color w:val="auto"/>
          <w:szCs w:val="28"/>
        </w:rPr>
        <w:t>时单独密封递交。</w:t>
      </w:r>
      <w:r>
        <w:rPr>
          <w:rFonts w:hint="eastAsia" w:ascii="仿宋_GB2312" w:eastAsia="仿宋_GB2312"/>
          <w:b w:val="0"/>
          <w:bCs/>
          <w:color w:val="auto"/>
          <w:szCs w:val="28"/>
          <w:lang w:eastAsia="zh-CN"/>
        </w:rPr>
        <w:t>报价</w:t>
      </w:r>
      <w:r>
        <w:rPr>
          <w:rFonts w:hint="eastAsia" w:ascii="仿宋_GB2312" w:eastAsia="仿宋_GB2312"/>
          <w:b w:val="0"/>
          <w:bCs/>
          <w:color w:val="auto"/>
          <w:szCs w:val="28"/>
        </w:rPr>
        <w:t>供应商如未按上述要求单独递交《价格文件》，</w:t>
      </w:r>
      <w:r>
        <w:rPr>
          <w:rFonts w:hint="eastAsia" w:ascii="仿宋_GB2312" w:eastAsia="仿宋_GB2312"/>
          <w:b w:val="0"/>
          <w:bCs/>
          <w:color w:val="auto"/>
          <w:szCs w:val="28"/>
          <w:lang w:eastAsia="zh-CN"/>
        </w:rPr>
        <w:t>报价</w:t>
      </w:r>
      <w:r>
        <w:rPr>
          <w:rFonts w:hint="eastAsia" w:ascii="仿宋_GB2312" w:eastAsia="仿宋_GB2312"/>
          <w:b w:val="0"/>
          <w:bCs/>
          <w:color w:val="auto"/>
          <w:szCs w:val="28"/>
        </w:rPr>
        <w:t>将被拒绝。</w:t>
      </w:r>
      <w:r>
        <w:rPr>
          <w:rFonts w:hint="eastAsia" w:ascii="仿宋_GB2312" w:eastAsia="仿宋_GB2312"/>
          <w:b w:val="0"/>
          <w:bCs/>
          <w:color w:val="auto"/>
          <w:szCs w:val="28"/>
          <w:lang w:eastAsia="zh-CN"/>
        </w:rPr>
        <w:t>报价</w:t>
      </w:r>
      <w:r>
        <w:rPr>
          <w:rFonts w:hint="eastAsia" w:ascii="仿宋_GB2312" w:eastAsia="仿宋_GB2312"/>
          <w:b w:val="0"/>
          <w:bCs/>
          <w:color w:val="auto"/>
          <w:szCs w:val="28"/>
        </w:rPr>
        <w:t>文件中除《价格文件》和《易损易耗件清单》外，其他部分不得有任何涉及本次报价的信息，否则视为无效</w:t>
      </w:r>
      <w:r>
        <w:rPr>
          <w:rFonts w:hint="eastAsia" w:ascii="仿宋_GB2312" w:eastAsia="仿宋_GB2312"/>
          <w:b w:val="0"/>
          <w:bCs/>
          <w:color w:val="auto"/>
          <w:szCs w:val="28"/>
          <w:lang w:eastAsia="zh-CN"/>
        </w:rPr>
        <w:t>报价</w:t>
      </w:r>
      <w:r>
        <w:rPr>
          <w:rFonts w:hint="eastAsia" w:ascii="仿宋_GB2312" w:eastAsia="仿宋_GB2312"/>
          <w:b w:val="0"/>
          <w:bCs/>
          <w:color w:val="auto"/>
          <w:szCs w:val="28"/>
        </w:rPr>
        <w:t>。</w:t>
      </w:r>
    </w:p>
    <w:p>
      <w:pPr>
        <w:pStyle w:val="114"/>
        <w:spacing w:line="560" w:lineRule="exact"/>
        <w:ind w:firstLine="560" w:firstLineChars="200"/>
        <w:jc w:val="both"/>
        <w:textAlignment w:val="auto"/>
        <w:rPr>
          <w:rFonts w:hint="eastAsia" w:ascii="仿宋_GB2312" w:eastAsia="仿宋_GB2312"/>
          <w:b w:val="0"/>
          <w:bCs/>
          <w:color w:val="auto"/>
          <w:szCs w:val="28"/>
        </w:rPr>
      </w:pPr>
      <w:r>
        <w:rPr>
          <w:rFonts w:hint="eastAsia" w:ascii="仿宋_GB2312" w:eastAsia="仿宋_GB2312"/>
          <w:b w:val="0"/>
          <w:bCs/>
          <w:color w:val="auto"/>
          <w:szCs w:val="28"/>
        </w:rPr>
        <w:t>八、</w:t>
      </w:r>
      <w:r>
        <w:rPr>
          <w:rFonts w:hint="eastAsia" w:ascii="仿宋_GB2312" w:eastAsia="仿宋_GB2312"/>
          <w:b w:val="0"/>
          <w:bCs/>
          <w:color w:val="auto"/>
          <w:szCs w:val="28"/>
          <w:lang w:eastAsia="zh-CN"/>
        </w:rPr>
        <w:t>报价</w:t>
      </w:r>
      <w:r>
        <w:rPr>
          <w:rFonts w:hint="eastAsia" w:ascii="仿宋_GB2312" w:eastAsia="仿宋_GB2312"/>
          <w:b w:val="0"/>
          <w:bCs/>
          <w:color w:val="auto"/>
          <w:szCs w:val="28"/>
        </w:rPr>
        <w:t>供应商编制</w:t>
      </w:r>
      <w:r>
        <w:rPr>
          <w:rFonts w:hint="eastAsia" w:ascii="仿宋_GB2312" w:eastAsia="仿宋_GB2312"/>
          <w:b w:val="0"/>
          <w:bCs/>
          <w:color w:val="auto"/>
          <w:szCs w:val="28"/>
          <w:lang w:eastAsia="zh-CN"/>
        </w:rPr>
        <w:t>报价</w:t>
      </w:r>
      <w:r>
        <w:rPr>
          <w:rFonts w:hint="eastAsia" w:ascii="仿宋_GB2312" w:eastAsia="仿宋_GB2312"/>
          <w:b w:val="0"/>
          <w:bCs/>
          <w:color w:val="auto"/>
          <w:szCs w:val="28"/>
        </w:rPr>
        <w:t>文件，应当按照</w:t>
      </w:r>
      <w:r>
        <w:rPr>
          <w:rFonts w:hint="eastAsia" w:ascii="仿宋_GB2312" w:eastAsia="仿宋_GB2312"/>
          <w:b w:val="0"/>
          <w:bCs/>
          <w:color w:val="auto"/>
          <w:szCs w:val="28"/>
          <w:lang w:eastAsia="zh-CN"/>
        </w:rPr>
        <w:t>谈判</w:t>
      </w:r>
      <w:r>
        <w:rPr>
          <w:rFonts w:hint="eastAsia" w:ascii="仿宋_GB2312" w:eastAsia="仿宋_GB2312"/>
          <w:b w:val="0"/>
          <w:bCs/>
          <w:color w:val="auto"/>
          <w:szCs w:val="28"/>
        </w:rPr>
        <w:t>文件通用部分第三章</w:t>
      </w:r>
      <w:r>
        <w:rPr>
          <w:rFonts w:hint="eastAsia" w:ascii="仿宋_GB2312" w:eastAsia="仿宋_GB2312"/>
          <w:b w:val="0"/>
          <w:bCs/>
          <w:color w:val="auto"/>
          <w:szCs w:val="28"/>
          <w:lang w:eastAsia="zh-CN"/>
        </w:rPr>
        <w:t>报价</w:t>
      </w:r>
      <w:r>
        <w:rPr>
          <w:rFonts w:hint="eastAsia" w:ascii="仿宋_GB2312" w:eastAsia="仿宋_GB2312"/>
          <w:b w:val="0"/>
          <w:bCs/>
          <w:color w:val="auto"/>
          <w:szCs w:val="28"/>
        </w:rPr>
        <w:t>文件内容及格式中附件表格要求，认真填写《资格证明文件索引表》、《商务评审索引表》和《技术评审索引表》，并按规定填写响应情况和相关证明材料在</w:t>
      </w:r>
      <w:r>
        <w:rPr>
          <w:rFonts w:hint="eastAsia" w:ascii="仿宋_GB2312" w:eastAsia="仿宋_GB2312"/>
          <w:b w:val="0"/>
          <w:bCs/>
          <w:color w:val="auto"/>
          <w:szCs w:val="28"/>
          <w:lang w:eastAsia="zh-CN"/>
        </w:rPr>
        <w:t>报价</w:t>
      </w:r>
      <w:r>
        <w:rPr>
          <w:rFonts w:hint="eastAsia" w:ascii="仿宋_GB2312" w:eastAsia="仿宋_GB2312"/>
          <w:b w:val="0"/>
          <w:bCs/>
          <w:color w:val="auto"/>
          <w:szCs w:val="28"/>
        </w:rPr>
        <w:t>文件中位置页码；评审时评委会依据</w:t>
      </w:r>
      <w:r>
        <w:rPr>
          <w:rFonts w:hint="eastAsia" w:ascii="仿宋_GB2312" w:eastAsia="仿宋_GB2312"/>
          <w:b w:val="0"/>
          <w:bCs/>
          <w:color w:val="auto"/>
          <w:szCs w:val="28"/>
          <w:lang w:eastAsia="zh-CN"/>
        </w:rPr>
        <w:t>报价</w:t>
      </w:r>
      <w:r>
        <w:rPr>
          <w:rFonts w:hint="eastAsia" w:ascii="仿宋_GB2312" w:eastAsia="仿宋_GB2312"/>
          <w:b w:val="0"/>
          <w:bCs/>
          <w:color w:val="auto"/>
          <w:szCs w:val="28"/>
        </w:rPr>
        <w:t>文件，对</w:t>
      </w:r>
      <w:r>
        <w:rPr>
          <w:rFonts w:hint="eastAsia" w:ascii="仿宋_GB2312" w:eastAsia="仿宋_GB2312"/>
          <w:b w:val="0"/>
          <w:bCs/>
          <w:color w:val="auto"/>
          <w:szCs w:val="28"/>
          <w:lang w:eastAsia="zh-CN"/>
        </w:rPr>
        <w:t>报价</w:t>
      </w:r>
      <w:r>
        <w:rPr>
          <w:rFonts w:hint="eastAsia" w:ascii="仿宋_GB2312" w:eastAsia="仿宋_GB2312"/>
          <w:b w:val="0"/>
          <w:bCs/>
          <w:color w:val="auto"/>
          <w:szCs w:val="28"/>
        </w:rPr>
        <w:t>供应商填写的内容进行审核确认。未填写索引表</w:t>
      </w:r>
      <w:r>
        <w:rPr>
          <w:rFonts w:hint="eastAsia" w:ascii="仿宋_GB2312" w:eastAsia="仿宋_GB2312"/>
          <w:b w:val="0"/>
          <w:bCs/>
          <w:color w:val="auto"/>
          <w:szCs w:val="28"/>
          <w:lang w:eastAsia="zh-CN"/>
        </w:rPr>
        <w:t>报价</w:t>
      </w:r>
      <w:r>
        <w:rPr>
          <w:rFonts w:hint="eastAsia" w:ascii="仿宋_GB2312" w:eastAsia="仿宋_GB2312"/>
          <w:b w:val="0"/>
          <w:bCs/>
          <w:color w:val="auto"/>
          <w:szCs w:val="28"/>
        </w:rPr>
        <w:t>无效。</w:t>
      </w:r>
    </w:p>
    <w:p>
      <w:pPr>
        <w:pStyle w:val="114"/>
        <w:spacing w:line="560" w:lineRule="exact"/>
        <w:ind w:firstLine="560" w:firstLineChars="200"/>
        <w:jc w:val="both"/>
        <w:textAlignment w:val="auto"/>
        <w:rPr>
          <w:rFonts w:hint="eastAsia" w:ascii="仿宋_GB2312" w:eastAsia="仿宋_GB2312"/>
          <w:b w:val="0"/>
          <w:bCs/>
          <w:color w:val="auto"/>
          <w:szCs w:val="28"/>
          <w:lang w:val="en-US" w:eastAsia="zh-CN"/>
        </w:rPr>
      </w:pPr>
      <w:r>
        <w:rPr>
          <w:rFonts w:hint="eastAsia" w:ascii="仿宋_GB2312" w:eastAsia="仿宋_GB2312"/>
          <w:b w:val="0"/>
          <w:bCs/>
          <w:color w:val="auto"/>
          <w:szCs w:val="28"/>
          <w:lang w:val="en-US" w:eastAsia="zh-CN"/>
        </w:rPr>
        <w:t>九、军队单位、事业单位无法提供审计报告的，可由上级管理部门批复的决算（或内部会计报表）代替。</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lang w:val="en-US" w:eastAsia="zh-CN"/>
        </w:rPr>
        <w:t>十</w:t>
      </w:r>
      <w:r>
        <w:rPr>
          <w:rFonts w:hint="eastAsia" w:ascii="仿宋_GB2312" w:eastAsia="仿宋_GB2312"/>
          <w:b w:val="0"/>
          <w:bCs/>
          <w:color w:val="auto"/>
          <w:szCs w:val="28"/>
        </w:rPr>
        <w:t>、</w:t>
      </w:r>
      <w:r>
        <w:rPr>
          <w:rFonts w:hint="eastAsia" w:ascii="仿宋_GB2312" w:eastAsia="仿宋_GB2312"/>
          <w:b w:val="0"/>
          <w:bCs/>
          <w:color w:val="auto"/>
          <w:szCs w:val="28"/>
          <w:lang w:eastAsia="zh-CN"/>
        </w:rPr>
        <w:t>报价</w:t>
      </w:r>
      <w:r>
        <w:rPr>
          <w:rFonts w:hint="eastAsia" w:ascii="仿宋_GB2312" w:eastAsia="仿宋_GB2312"/>
          <w:b w:val="0"/>
          <w:bCs/>
          <w:color w:val="auto"/>
          <w:szCs w:val="28"/>
        </w:rPr>
        <w:t>供应商如有两个以上名称且在</w:t>
      </w:r>
      <w:r>
        <w:rPr>
          <w:rFonts w:hint="eastAsia" w:ascii="仿宋_GB2312" w:eastAsia="仿宋_GB2312"/>
          <w:b w:val="0"/>
          <w:bCs/>
          <w:color w:val="auto"/>
          <w:szCs w:val="28"/>
          <w:lang w:eastAsia="zh-CN"/>
        </w:rPr>
        <w:t>报价</w:t>
      </w:r>
      <w:r>
        <w:rPr>
          <w:rFonts w:hint="eastAsia" w:ascii="仿宋_GB2312" w:eastAsia="仿宋_GB2312"/>
          <w:b w:val="0"/>
          <w:bCs/>
          <w:color w:val="auto"/>
          <w:szCs w:val="28"/>
        </w:rPr>
        <w:t>文件中同时出现的，应当提供其为同一单位的书面证明材料。</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十</w:t>
      </w:r>
      <w:r>
        <w:rPr>
          <w:rFonts w:hint="eastAsia" w:ascii="仿宋_GB2312" w:eastAsia="仿宋_GB2312"/>
          <w:b w:val="0"/>
          <w:bCs/>
          <w:color w:val="auto"/>
          <w:szCs w:val="28"/>
          <w:lang w:val="en-US" w:eastAsia="zh-CN"/>
        </w:rPr>
        <w:t>一</w:t>
      </w:r>
      <w:r>
        <w:rPr>
          <w:rFonts w:hint="eastAsia" w:ascii="仿宋_GB2312" w:eastAsia="仿宋_GB2312"/>
          <w:b w:val="0"/>
          <w:bCs/>
          <w:color w:val="auto"/>
          <w:szCs w:val="28"/>
        </w:rPr>
        <w:t>、文件中“近*年/月”、“最近*年/月”、“前*年/月”均是指以</w:t>
      </w:r>
      <w:r>
        <w:rPr>
          <w:rFonts w:hint="eastAsia" w:ascii="仿宋_GB2312" w:eastAsia="仿宋_GB2312"/>
          <w:b w:val="0"/>
          <w:bCs/>
          <w:color w:val="auto"/>
          <w:szCs w:val="28"/>
          <w:lang w:eastAsia="zh-CN"/>
        </w:rPr>
        <w:t>报价</w:t>
      </w:r>
      <w:r>
        <w:rPr>
          <w:rFonts w:hint="eastAsia" w:ascii="仿宋_GB2312" w:eastAsia="仿宋_GB2312"/>
          <w:b w:val="0"/>
          <w:bCs/>
          <w:color w:val="auto"/>
          <w:szCs w:val="28"/>
        </w:rPr>
        <w:t>截止时间为基准点向前推算。</w:t>
      </w:r>
      <w:r>
        <w:rPr>
          <w:rFonts w:hint="eastAsia" w:ascii="仿宋_GB2312" w:eastAsia="仿宋_GB2312"/>
          <w:b w:val="0"/>
          <w:bCs/>
          <w:color w:val="auto"/>
          <w:szCs w:val="28"/>
          <w:lang w:eastAsia="zh-CN"/>
        </w:rPr>
        <w:t>报价</w:t>
      </w:r>
      <w:r>
        <w:rPr>
          <w:rFonts w:hint="eastAsia" w:ascii="仿宋_GB2312" w:eastAsia="仿宋_GB2312"/>
          <w:b w:val="0"/>
          <w:bCs/>
          <w:color w:val="auto"/>
          <w:szCs w:val="28"/>
        </w:rPr>
        <w:t>截止时间在6月1日（不含）前，近</w:t>
      </w:r>
      <w:r>
        <w:rPr>
          <w:rFonts w:hint="eastAsia" w:ascii="仿宋_GB2312" w:eastAsia="仿宋_GB2312"/>
          <w:b w:val="0"/>
          <w:bCs/>
          <w:color w:val="auto"/>
          <w:szCs w:val="28"/>
          <w:lang w:eastAsia="zh-CN"/>
        </w:rPr>
        <w:t>一</w:t>
      </w:r>
      <w:r>
        <w:rPr>
          <w:rFonts w:hint="eastAsia" w:ascii="仿宋_GB2312" w:eastAsia="仿宋_GB2312"/>
          <w:b w:val="0"/>
          <w:bCs/>
          <w:color w:val="auto"/>
          <w:szCs w:val="28"/>
        </w:rPr>
        <w:t>年财务报表指上年度之前的</w:t>
      </w:r>
      <w:r>
        <w:rPr>
          <w:rFonts w:hint="eastAsia" w:ascii="仿宋_GB2312" w:eastAsia="仿宋_GB2312"/>
          <w:b w:val="0"/>
          <w:bCs/>
          <w:color w:val="auto"/>
          <w:szCs w:val="28"/>
          <w:lang w:eastAsia="zh-CN"/>
        </w:rPr>
        <w:t>一</w:t>
      </w:r>
      <w:r>
        <w:rPr>
          <w:rFonts w:hint="eastAsia" w:ascii="仿宋_GB2312" w:eastAsia="仿宋_GB2312"/>
          <w:b w:val="0"/>
          <w:bCs/>
          <w:color w:val="auto"/>
          <w:szCs w:val="28"/>
        </w:rPr>
        <w:t>年</w:t>
      </w:r>
      <w:r>
        <w:rPr>
          <w:rFonts w:ascii="仿宋_GB2312" w:eastAsia="仿宋_GB2312"/>
          <w:b w:val="0"/>
          <w:bCs/>
          <w:color w:val="auto"/>
          <w:szCs w:val="28"/>
        </w:rPr>
        <w:t xml:space="preserve"> </w:t>
      </w:r>
      <w:r>
        <w:rPr>
          <w:rFonts w:hint="eastAsia" w:ascii="仿宋_GB2312" w:eastAsia="仿宋_GB2312"/>
          <w:b w:val="0"/>
          <w:bCs/>
          <w:color w:val="auto"/>
          <w:szCs w:val="28"/>
        </w:rPr>
        <w:t>(不含上年度)，</w:t>
      </w:r>
      <w:r>
        <w:rPr>
          <w:rFonts w:hint="eastAsia" w:ascii="仿宋_GB2312" w:eastAsia="仿宋_GB2312"/>
          <w:b w:val="0"/>
          <w:bCs/>
          <w:color w:val="auto"/>
          <w:szCs w:val="28"/>
          <w:lang w:eastAsia="zh-CN"/>
        </w:rPr>
        <w:t>报价</w:t>
      </w:r>
      <w:r>
        <w:rPr>
          <w:rFonts w:hint="eastAsia" w:ascii="仿宋_GB2312" w:eastAsia="仿宋_GB2312"/>
          <w:b w:val="0"/>
          <w:bCs/>
          <w:color w:val="auto"/>
          <w:szCs w:val="28"/>
        </w:rPr>
        <w:t>截止时间在6月1日（含）后，近</w:t>
      </w:r>
      <w:r>
        <w:rPr>
          <w:rFonts w:hint="eastAsia" w:ascii="仿宋_GB2312" w:eastAsia="仿宋_GB2312"/>
          <w:b w:val="0"/>
          <w:bCs/>
          <w:color w:val="auto"/>
          <w:szCs w:val="28"/>
          <w:lang w:eastAsia="zh-CN"/>
        </w:rPr>
        <w:t>一</w:t>
      </w:r>
      <w:r>
        <w:rPr>
          <w:rFonts w:hint="eastAsia" w:ascii="仿宋_GB2312" w:eastAsia="仿宋_GB2312"/>
          <w:b w:val="0"/>
          <w:bCs/>
          <w:color w:val="auto"/>
          <w:szCs w:val="28"/>
        </w:rPr>
        <w:t>年财务报表指本年度之前的</w:t>
      </w:r>
      <w:r>
        <w:rPr>
          <w:rFonts w:hint="eastAsia" w:ascii="仿宋_GB2312" w:eastAsia="仿宋_GB2312"/>
          <w:b w:val="0"/>
          <w:bCs/>
          <w:color w:val="auto"/>
          <w:szCs w:val="28"/>
          <w:lang w:eastAsia="zh-CN"/>
        </w:rPr>
        <w:t>一</w:t>
      </w:r>
      <w:r>
        <w:rPr>
          <w:rFonts w:hint="eastAsia" w:ascii="仿宋_GB2312" w:eastAsia="仿宋_GB2312"/>
          <w:b w:val="0"/>
          <w:bCs/>
          <w:color w:val="auto"/>
          <w:szCs w:val="28"/>
        </w:rPr>
        <w:t>年（含上年度），特别说明除外。</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十</w:t>
      </w:r>
      <w:r>
        <w:rPr>
          <w:rFonts w:hint="eastAsia" w:ascii="仿宋_GB2312" w:eastAsia="仿宋_GB2312"/>
          <w:b w:val="0"/>
          <w:bCs/>
          <w:color w:val="auto"/>
          <w:szCs w:val="28"/>
          <w:lang w:val="en-US" w:eastAsia="zh-CN"/>
        </w:rPr>
        <w:t>二</w:t>
      </w:r>
      <w:r>
        <w:rPr>
          <w:rFonts w:hint="eastAsia" w:ascii="仿宋_GB2312" w:eastAsia="仿宋_GB2312"/>
          <w:b w:val="0"/>
          <w:bCs/>
          <w:color w:val="auto"/>
          <w:szCs w:val="28"/>
        </w:rPr>
        <w:t>、本次</w:t>
      </w:r>
      <w:r>
        <w:rPr>
          <w:rFonts w:hint="eastAsia" w:ascii="仿宋_GB2312" w:eastAsia="仿宋_GB2312"/>
          <w:b w:val="0"/>
          <w:bCs/>
          <w:color w:val="auto"/>
          <w:szCs w:val="28"/>
          <w:lang w:eastAsia="zh-CN"/>
        </w:rPr>
        <w:t>谈判</w:t>
      </w:r>
      <w:r>
        <w:rPr>
          <w:rFonts w:hint="eastAsia" w:ascii="仿宋_GB2312" w:eastAsia="仿宋_GB2312"/>
          <w:b w:val="0"/>
          <w:bCs/>
          <w:color w:val="auto"/>
          <w:szCs w:val="28"/>
        </w:rPr>
        <w:t>、</w:t>
      </w:r>
      <w:r>
        <w:rPr>
          <w:rFonts w:hint="eastAsia" w:ascii="仿宋_GB2312" w:eastAsia="仿宋_GB2312"/>
          <w:b w:val="0"/>
          <w:bCs/>
          <w:color w:val="auto"/>
          <w:szCs w:val="28"/>
          <w:lang w:eastAsia="zh-CN"/>
        </w:rPr>
        <w:t>报价</w:t>
      </w:r>
      <w:r>
        <w:rPr>
          <w:rFonts w:hint="eastAsia" w:ascii="仿宋_GB2312" w:eastAsia="仿宋_GB2312"/>
          <w:b w:val="0"/>
          <w:bCs/>
          <w:color w:val="auto"/>
          <w:szCs w:val="28"/>
        </w:rPr>
        <w:t>、评</w:t>
      </w:r>
      <w:r>
        <w:rPr>
          <w:rFonts w:hint="eastAsia" w:ascii="仿宋_GB2312" w:eastAsia="仿宋_GB2312"/>
          <w:b w:val="0"/>
          <w:bCs/>
          <w:color w:val="auto"/>
          <w:szCs w:val="28"/>
          <w:lang w:eastAsia="zh-CN"/>
        </w:rPr>
        <w:t>审</w:t>
      </w:r>
      <w:r>
        <w:rPr>
          <w:rFonts w:hint="eastAsia" w:ascii="仿宋_GB2312" w:eastAsia="仿宋_GB2312"/>
          <w:b w:val="0"/>
          <w:bCs/>
          <w:color w:val="auto"/>
          <w:szCs w:val="28"/>
        </w:rPr>
        <w:t>均以包为单位，</w:t>
      </w:r>
      <w:r>
        <w:rPr>
          <w:rFonts w:hint="eastAsia" w:ascii="仿宋_GB2312" w:eastAsia="仿宋_GB2312"/>
          <w:b w:val="0"/>
          <w:bCs/>
          <w:color w:val="auto"/>
          <w:szCs w:val="28"/>
          <w:lang w:eastAsia="zh-CN"/>
        </w:rPr>
        <w:t>报价</w:t>
      </w:r>
      <w:r>
        <w:rPr>
          <w:rFonts w:hint="eastAsia" w:ascii="仿宋_GB2312" w:eastAsia="仿宋_GB2312"/>
          <w:b w:val="0"/>
          <w:bCs/>
          <w:color w:val="auto"/>
          <w:szCs w:val="28"/>
        </w:rPr>
        <w:t>供应商应当对所投包内所有产品和数量进行报价，否则视为无效</w:t>
      </w:r>
      <w:r>
        <w:rPr>
          <w:rFonts w:hint="eastAsia" w:ascii="仿宋_GB2312" w:eastAsia="仿宋_GB2312"/>
          <w:b w:val="0"/>
          <w:bCs/>
          <w:color w:val="auto"/>
          <w:szCs w:val="28"/>
          <w:lang w:eastAsia="zh-CN"/>
        </w:rPr>
        <w:t>报价</w:t>
      </w:r>
      <w:r>
        <w:rPr>
          <w:rFonts w:hint="eastAsia" w:ascii="仿宋_GB2312" w:eastAsia="仿宋_GB2312"/>
          <w:b w:val="0"/>
          <w:bCs/>
          <w:color w:val="auto"/>
          <w:szCs w:val="28"/>
        </w:rPr>
        <w:t>。</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十</w:t>
      </w:r>
      <w:r>
        <w:rPr>
          <w:rFonts w:hint="eastAsia" w:ascii="仿宋_GB2312" w:eastAsia="仿宋_GB2312"/>
          <w:b w:val="0"/>
          <w:bCs/>
          <w:color w:val="auto"/>
          <w:szCs w:val="28"/>
          <w:lang w:val="en-US" w:eastAsia="zh-CN"/>
        </w:rPr>
        <w:t>三</w:t>
      </w:r>
      <w:r>
        <w:rPr>
          <w:rFonts w:hint="eastAsia" w:ascii="仿宋_GB2312" w:eastAsia="仿宋_GB2312"/>
          <w:b w:val="0"/>
          <w:bCs/>
          <w:color w:val="auto"/>
          <w:szCs w:val="28"/>
        </w:rPr>
        <w:t>、</w:t>
      </w:r>
      <w:r>
        <w:rPr>
          <w:rFonts w:hint="eastAsia" w:ascii="仿宋_GB2312" w:eastAsia="仿宋_GB2312"/>
          <w:b w:val="0"/>
          <w:bCs/>
          <w:color w:val="auto"/>
          <w:szCs w:val="28"/>
          <w:lang w:eastAsia="zh-CN"/>
        </w:rPr>
        <w:t>报价</w:t>
      </w:r>
      <w:r>
        <w:rPr>
          <w:rFonts w:hint="eastAsia" w:ascii="仿宋_GB2312" w:eastAsia="仿宋_GB2312"/>
          <w:b w:val="0"/>
          <w:bCs/>
          <w:color w:val="auto"/>
          <w:szCs w:val="28"/>
        </w:rPr>
        <w:t>文件中相关复印资料应当清晰、可辨认，</w:t>
      </w:r>
      <w:r>
        <w:rPr>
          <w:rFonts w:hint="eastAsia" w:ascii="仿宋_GB2312" w:eastAsia="仿宋_GB2312"/>
          <w:b w:val="0"/>
          <w:bCs/>
          <w:color w:val="auto"/>
          <w:szCs w:val="28"/>
          <w:lang w:eastAsia="zh-CN"/>
        </w:rPr>
        <w:t>报价</w:t>
      </w:r>
      <w:r>
        <w:rPr>
          <w:rFonts w:hint="eastAsia" w:ascii="仿宋_GB2312" w:eastAsia="仿宋_GB2312"/>
          <w:b w:val="0"/>
          <w:bCs/>
          <w:color w:val="auto"/>
          <w:szCs w:val="28"/>
        </w:rPr>
        <w:t>中请自带原件备查，如资料模糊且不能现场提供原件，视为该项资料无效。</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十</w:t>
      </w:r>
      <w:r>
        <w:rPr>
          <w:rFonts w:hint="eastAsia" w:ascii="仿宋_GB2312" w:eastAsia="仿宋_GB2312"/>
          <w:b w:val="0"/>
          <w:bCs/>
          <w:color w:val="auto"/>
          <w:szCs w:val="28"/>
          <w:lang w:val="en-US" w:eastAsia="zh-CN"/>
        </w:rPr>
        <w:t>四</w:t>
      </w:r>
      <w:r>
        <w:rPr>
          <w:rFonts w:hint="eastAsia" w:ascii="仿宋_GB2312" w:eastAsia="仿宋_GB2312"/>
          <w:b w:val="0"/>
          <w:bCs/>
          <w:color w:val="auto"/>
          <w:szCs w:val="28"/>
        </w:rPr>
        <w:t>、供应商发现购买</w:t>
      </w:r>
      <w:r>
        <w:rPr>
          <w:rFonts w:hint="eastAsia" w:ascii="仿宋_GB2312" w:eastAsia="仿宋_GB2312"/>
          <w:b w:val="0"/>
          <w:bCs/>
          <w:color w:val="auto"/>
          <w:szCs w:val="28"/>
          <w:lang w:eastAsia="zh-CN"/>
        </w:rPr>
        <w:t>谈判</w:t>
      </w:r>
      <w:r>
        <w:rPr>
          <w:rFonts w:hint="eastAsia" w:ascii="仿宋_GB2312" w:eastAsia="仿宋_GB2312"/>
          <w:b w:val="0"/>
          <w:bCs/>
          <w:color w:val="auto"/>
          <w:szCs w:val="28"/>
        </w:rPr>
        <w:t>文件时提交的相关资料被盗用或复制，应当遵循法律途径解决，追究侵权者责任。</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十</w:t>
      </w:r>
      <w:r>
        <w:rPr>
          <w:rFonts w:hint="eastAsia" w:ascii="仿宋_GB2312" w:eastAsia="仿宋_GB2312"/>
          <w:b w:val="0"/>
          <w:bCs/>
          <w:color w:val="auto"/>
          <w:szCs w:val="28"/>
          <w:lang w:val="en-US" w:eastAsia="zh-CN"/>
        </w:rPr>
        <w:t>五</w:t>
      </w:r>
      <w:r>
        <w:rPr>
          <w:rFonts w:hint="eastAsia" w:ascii="仿宋_GB2312" w:eastAsia="仿宋_GB2312"/>
          <w:b w:val="0"/>
          <w:bCs/>
          <w:color w:val="auto"/>
          <w:szCs w:val="28"/>
        </w:rPr>
        <w:t>、本</w:t>
      </w:r>
      <w:r>
        <w:rPr>
          <w:rFonts w:hint="eastAsia" w:ascii="仿宋_GB2312" w:eastAsia="仿宋_GB2312"/>
          <w:b w:val="0"/>
          <w:bCs/>
          <w:color w:val="auto"/>
          <w:szCs w:val="28"/>
          <w:lang w:eastAsia="zh-CN"/>
        </w:rPr>
        <w:t>谈判</w:t>
      </w:r>
      <w:r>
        <w:rPr>
          <w:rFonts w:hint="eastAsia" w:ascii="仿宋_GB2312" w:eastAsia="仿宋_GB2312"/>
          <w:b w:val="0"/>
          <w:bCs/>
          <w:color w:val="auto"/>
          <w:szCs w:val="28"/>
        </w:rPr>
        <w:t>文件主要依据国家军队采购相关法规规定拟制，军队相关规定未明确事项可参照政府采购相关法规规定，最终解释权归军委后勤保障部采购管理局。对</w:t>
      </w:r>
      <w:r>
        <w:rPr>
          <w:rFonts w:hint="eastAsia" w:ascii="仿宋_GB2312" w:eastAsia="仿宋_GB2312"/>
          <w:b w:val="0"/>
          <w:bCs/>
          <w:color w:val="auto"/>
          <w:szCs w:val="28"/>
          <w:lang w:eastAsia="zh-CN"/>
        </w:rPr>
        <w:t>谈判</w:t>
      </w:r>
      <w:r>
        <w:rPr>
          <w:rFonts w:hint="eastAsia" w:ascii="仿宋_GB2312" w:eastAsia="仿宋_GB2312"/>
          <w:b w:val="0"/>
          <w:bCs/>
          <w:color w:val="auto"/>
          <w:szCs w:val="28"/>
        </w:rPr>
        <w:t>文件有疑问的，由编制</w:t>
      </w:r>
      <w:r>
        <w:rPr>
          <w:rFonts w:hint="eastAsia" w:ascii="仿宋_GB2312" w:eastAsia="仿宋_GB2312"/>
          <w:b w:val="0"/>
          <w:bCs/>
          <w:color w:val="auto"/>
          <w:szCs w:val="28"/>
          <w:lang w:eastAsia="zh-CN"/>
        </w:rPr>
        <w:t>谈判</w:t>
      </w:r>
      <w:r>
        <w:rPr>
          <w:rFonts w:hint="eastAsia" w:ascii="仿宋_GB2312" w:eastAsia="仿宋_GB2312"/>
          <w:b w:val="0"/>
          <w:bCs/>
          <w:color w:val="auto"/>
          <w:szCs w:val="28"/>
        </w:rPr>
        <w:t>文件的采购机构书面解释澄清。</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szCs w:val="28"/>
        </w:rPr>
        <w:t>十</w:t>
      </w:r>
      <w:r>
        <w:rPr>
          <w:rFonts w:hint="eastAsia" w:ascii="仿宋_GB2312" w:eastAsia="仿宋_GB2312"/>
          <w:b w:val="0"/>
          <w:bCs/>
          <w:szCs w:val="28"/>
          <w:lang w:val="en-US" w:eastAsia="zh-CN"/>
        </w:rPr>
        <w:t>六</w:t>
      </w:r>
      <w:r>
        <w:rPr>
          <w:rFonts w:hint="eastAsia" w:ascii="仿宋_GB2312" w:eastAsia="仿宋_GB2312"/>
          <w:b w:val="0"/>
          <w:bCs/>
          <w:szCs w:val="28"/>
        </w:rPr>
        <w:t>、</w:t>
      </w:r>
      <w:r>
        <w:rPr>
          <w:rFonts w:hint="eastAsia" w:ascii="仿宋_GB2312" w:eastAsia="仿宋_GB2312"/>
          <w:b w:val="0"/>
          <w:bCs/>
          <w:szCs w:val="28"/>
          <w:lang w:eastAsia="zh-CN"/>
        </w:rPr>
        <w:t>谈判</w:t>
      </w:r>
      <w:r>
        <w:rPr>
          <w:rFonts w:hint="eastAsia" w:ascii="仿宋_GB2312" w:eastAsia="仿宋_GB2312"/>
          <w:b w:val="0"/>
          <w:bCs/>
          <w:szCs w:val="28"/>
        </w:rPr>
        <w:t>文件通用部分为本</w:t>
      </w:r>
      <w:r>
        <w:rPr>
          <w:rFonts w:hint="eastAsia" w:ascii="仿宋_GB2312" w:eastAsia="仿宋_GB2312"/>
          <w:b w:val="0"/>
          <w:bCs/>
          <w:szCs w:val="28"/>
          <w:lang w:eastAsia="zh-CN"/>
        </w:rPr>
        <w:t>谈判</w:t>
      </w:r>
      <w:r>
        <w:rPr>
          <w:rFonts w:hint="eastAsia" w:ascii="仿宋_GB2312" w:eastAsia="仿宋_GB2312"/>
          <w:b w:val="0"/>
          <w:bCs/>
          <w:szCs w:val="28"/>
        </w:rPr>
        <w:t>文件的一般性说明，与专用部分均为</w:t>
      </w:r>
      <w:r>
        <w:rPr>
          <w:rFonts w:hint="eastAsia" w:ascii="仿宋_GB2312" w:eastAsia="仿宋_GB2312"/>
          <w:b w:val="0"/>
          <w:bCs/>
          <w:szCs w:val="28"/>
          <w:lang w:eastAsia="zh-CN"/>
        </w:rPr>
        <w:t>谈判</w:t>
      </w:r>
      <w:r>
        <w:rPr>
          <w:rFonts w:hint="eastAsia" w:ascii="仿宋_GB2312" w:eastAsia="仿宋_GB2312"/>
          <w:b w:val="0"/>
          <w:bCs/>
          <w:szCs w:val="28"/>
        </w:rPr>
        <w:t>文件的组成部分。通用部分已明确但专用部分再次明确的，以专用部分为准。</w:t>
      </w:r>
    </w:p>
    <w:p>
      <w:pPr>
        <w:pStyle w:val="16"/>
      </w:pPr>
    </w:p>
    <w:p>
      <w:pPr>
        <w:pStyle w:val="16"/>
        <w:rPr>
          <w:rFonts w:hint="eastAsia"/>
        </w:rPr>
      </w:pPr>
    </w:p>
    <w:p>
      <w:pPr>
        <w:pStyle w:val="16"/>
      </w:pPr>
    </w:p>
    <w:p>
      <w:pPr>
        <w:rPr>
          <w:rFonts w:hint="eastAsia" w:ascii="黑体" w:hAnsi="黑体" w:eastAsia="黑体" w:cs="黑体"/>
          <w:bCs/>
          <w:sz w:val="44"/>
          <w:szCs w:val="44"/>
        </w:rPr>
      </w:pPr>
      <w:r>
        <w:rPr>
          <w:rFonts w:hint="eastAsia" w:ascii="黑体" w:hAnsi="黑体" w:eastAsia="黑体" w:cs="黑体"/>
          <w:bCs/>
          <w:sz w:val="44"/>
          <w:szCs w:val="44"/>
        </w:rPr>
        <w:br w:type="page"/>
      </w:r>
    </w:p>
    <w:p>
      <w:pPr>
        <w:pStyle w:val="21"/>
        <w:tabs>
          <w:tab w:val="right" w:leader="dot" w:pos="9344"/>
        </w:tabs>
        <w:ind w:left="42" w:leftChars="20"/>
        <w:jc w:val="center"/>
        <w:rPr>
          <w:rFonts w:hint="eastAsia" w:ascii="黑体" w:hAnsi="黑体" w:eastAsia="黑体" w:cs="黑体"/>
          <w:bCs/>
          <w:sz w:val="44"/>
          <w:szCs w:val="44"/>
        </w:rPr>
      </w:pPr>
      <w:r>
        <w:rPr>
          <w:rFonts w:hint="eastAsia" w:ascii="黑体" w:hAnsi="黑体" w:eastAsia="黑体" w:cs="黑体"/>
          <w:bCs/>
          <w:sz w:val="44"/>
          <w:szCs w:val="44"/>
        </w:rPr>
        <w:t>目   录</w:t>
      </w:r>
    </w:p>
    <w:p>
      <w:pPr>
        <w:pStyle w:val="30"/>
        <w:tabs>
          <w:tab w:val="right" w:leader="dot" w:pos="9354"/>
        </w:tabs>
      </w:pPr>
      <w:r>
        <w:fldChar w:fldCharType="begin"/>
      </w:r>
      <w:r>
        <w:instrText xml:space="preserve">TOC \o "1-3" \h \u </w:instrText>
      </w:r>
      <w:r>
        <w:fldChar w:fldCharType="separate"/>
      </w:r>
      <w:r>
        <w:fldChar w:fldCharType="begin"/>
      </w:r>
      <w:r>
        <w:instrText xml:space="preserve"> HYPERLINK \l _Toc29677 </w:instrText>
      </w:r>
      <w:r>
        <w:fldChar w:fldCharType="separate"/>
      </w:r>
      <w:r>
        <w:rPr>
          <w:rFonts w:hint="eastAsia" w:ascii="方正小标宋简体" w:eastAsia="方正小标宋简体"/>
          <w:szCs w:val="84"/>
        </w:rPr>
        <w:t>通用文件</w:t>
      </w:r>
      <w:r>
        <w:fldChar w:fldCharType="end"/>
      </w:r>
    </w:p>
    <w:p>
      <w:pPr>
        <w:pStyle w:val="35"/>
        <w:tabs>
          <w:tab w:val="right" w:leader="dot" w:pos="9354"/>
        </w:tabs>
      </w:pPr>
      <w:r>
        <w:fldChar w:fldCharType="begin"/>
      </w:r>
      <w:r>
        <w:instrText xml:space="preserve"> HYPERLINK \l _Toc19385 </w:instrText>
      </w:r>
      <w:r>
        <w:fldChar w:fldCharType="separate"/>
      </w:r>
      <w:r>
        <w:rPr>
          <w:rFonts w:hint="eastAsia"/>
          <w:szCs w:val="44"/>
          <w:lang w:val="zh-CN"/>
        </w:rPr>
        <w:t>第一章 谈判须知</w:t>
      </w:r>
      <w:r>
        <w:tab/>
      </w:r>
      <w:r>
        <w:fldChar w:fldCharType="begin"/>
      </w:r>
      <w:r>
        <w:instrText xml:space="preserve"> PAGEREF _Toc19385 \h </w:instrText>
      </w:r>
      <w:r>
        <w:fldChar w:fldCharType="separate"/>
      </w:r>
      <w:r>
        <w:t>- 1 -</w:t>
      </w:r>
      <w:r>
        <w:fldChar w:fldCharType="end"/>
      </w:r>
      <w:r>
        <w:fldChar w:fldCharType="end"/>
      </w:r>
    </w:p>
    <w:p>
      <w:pPr>
        <w:pStyle w:val="21"/>
        <w:tabs>
          <w:tab w:val="right" w:leader="dot" w:pos="9354"/>
        </w:tabs>
      </w:pPr>
      <w:r>
        <w:fldChar w:fldCharType="begin"/>
      </w:r>
      <w:r>
        <w:instrText xml:space="preserve"> HYPERLINK \l _Toc27678 </w:instrText>
      </w:r>
      <w:r>
        <w:fldChar w:fldCharType="separate"/>
      </w:r>
      <w:r>
        <w:rPr>
          <w:rFonts w:hint="eastAsia"/>
        </w:rPr>
        <w:t>一、说</w:t>
      </w:r>
      <w:r>
        <w:t xml:space="preserve">  </w:t>
      </w:r>
      <w:r>
        <w:rPr>
          <w:rFonts w:hint="eastAsia"/>
        </w:rPr>
        <w:t>明</w:t>
      </w:r>
      <w:r>
        <w:tab/>
      </w:r>
      <w:r>
        <w:fldChar w:fldCharType="begin"/>
      </w:r>
      <w:r>
        <w:instrText xml:space="preserve"> PAGEREF _Toc27678 \h </w:instrText>
      </w:r>
      <w:r>
        <w:fldChar w:fldCharType="separate"/>
      </w:r>
      <w:r>
        <w:t>- 1 -</w:t>
      </w:r>
      <w:r>
        <w:fldChar w:fldCharType="end"/>
      </w:r>
      <w:r>
        <w:fldChar w:fldCharType="end"/>
      </w:r>
    </w:p>
    <w:p>
      <w:pPr>
        <w:pStyle w:val="21"/>
        <w:tabs>
          <w:tab w:val="right" w:leader="dot" w:pos="9354"/>
        </w:tabs>
      </w:pPr>
      <w:r>
        <w:fldChar w:fldCharType="begin"/>
      </w:r>
      <w:r>
        <w:instrText xml:space="preserve"> HYPERLINK \l _Toc25282 </w:instrText>
      </w:r>
      <w:r>
        <w:fldChar w:fldCharType="separate"/>
      </w:r>
      <w:r>
        <w:rPr>
          <w:rFonts w:hint="eastAsia"/>
        </w:rPr>
        <w:t>二、谈判文件的内容及澄清与修改</w:t>
      </w:r>
      <w:r>
        <w:tab/>
      </w:r>
      <w:r>
        <w:fldChar w:fldCharType="begin"/>
      </w:r>
      <w:r>
        <w:instrText xml:space="preserve"> PAGEREF _Toc25282 \h </w:instrText>
      </w:r>
      <w:r>
        <w:fldChar w:fldCharType="separate"/>
      </w:r>
      <w:r>
        <w:t>- 3 -</w:t>
      </w:r>
      <w:r>
        <w:fldChar w:fldCharType="end"/>
      </w:r>
      <w:r>
        <w:fldChar w:fldCharType="end"/>
      </w:r>
    </w:p>
    <w:p>
      <w:pPr>
        <w:pStyle w:val="21"/>
        <w:tabs>
          <w:tab w:val="right" w:leader="dot" w:pos="9354"/>
        </w:tabs>
      </w:pPr>
      <w:r>
        <w:fldChar w:fldCharType="begin"/>
      </w:r>
      <w:r>
        <w:instrText xml:space="preserve"> HYPERLINK \l _Toc18897 </w:instrText>
      </w:r>
      <w:r>
        <w:fldChar w:fldCharType="separate"/>
      </w:r>
      <w:r>
        <w:rPr>
          <w:rFonts w:hint="eastAsia"/>
        </w:rPr>
        <w:t>三、报价文件的基本要求</w:t>
      </w:r>
      <w:r>
        <w:tab/>
      </w:r>
      <w:r>
        <w:fldChar w:fldCharType="begin"/>
      </w:r>
      <w:r>
        <w:instrText xml:space="preserve"> PAGEREF _Toc18897 \h </w:instrText>
      </w:r>
      <w:r>
        <w:fldChar w:fldCharType="separate"/>
      </w:r>
      <w:r>
        <w:t>- 4 -</w:t>
      </w:r>
      <w:r>
        <w:fldChar w:fldCharType="end"/>
      </w:r>
      <w:r>
        <w:fldChar w:fldCharType="end"/>
      </w:r>
    </w:p>
    <w:p>
      <w:pPr>
        <w:pStyle w:val="21"/>
        <w:tabs>
          <w:tab w:val="right" w:leader="dot" w:pos="9354"/>
        </w:tabs>
      </w:pPr>
      <w:r>
        <w:fldChar w:fldCharType="begin"/>
      </w:r>
      <w:r>
        <w:instrText xml:space="preserve"> HYPERLINK \l _Toc31844 </w:instrText>
      </w:r>
      <w:r>
        <w:fldChar w:fldCharType="separate"/>
      </w:r>
      <w:r>
        <w:rPr>
          <w:rFonts w:hint="eastAsia"/>
        </w:rPr>
        <w:t>四、报价文件提交</w:t>
      </w:r>
      <w:r>
        <w:tab/>
      </w:r>
      <w:r>
        <w:fldChar w:fldCharType="begin"/>
      </w:r>
      <w:r>
        <w:instrText xml:space="preserve"> PAGEREF _Toc31844 \h </w:instrText>
      </w:r>
      <w:r>
        <w:fldChar w:fldCharType="separate"/>
      </w:r>
      <w:r>
        <w:t>- 7 -</w:t>
      </w:r>
      <w:r>
        <w:fldChar w:fldCharType="end"/>
      </w:r>
      <w:r>
        <w:fldChar w:fldCharType="end"/>
      </w:r>
    </w:p>
    <w:p>
      <w:pPr>
        <w:pStyle w:val="21"/>
        <w:tabs>
          <w:tab w:val="right" w:leader="dot" w:pos="9354"/>
        </w:tabs>
      </w:pPr>
      <w:r>
        <w:fldChar w:fldCharType="begin"/>
      </w:r>
      <w:r>
        <w:instrText xml:space="preserve"> HYPERLINK \l _Toc4952 </w:instrText>
      </w:r>
      <w:r>
        <w:fldChar w:fldCharType="separate"/>
      </w:r>
      <w:r>
        <w:rPr>
          <w:rFonts w:hint="eastAsia"/>
        </w:rPr>
        <w:t>五、谈判与评审</w:t>
      </w:r>
      <w:r>
        <w:tab/>
      </w:r>
      <w:r>
        <w:fldChar w:fldCharType="begin"/>
      </w:r>
      <w:r>
        <w:instrText xml:space="preserve"> PAGEREF _Toc4952 \h </w:instrText>
      </w:r>
      <w:r>
        <w:fldChar w:fldCharType="separate"/>
      </w:r>
      <w:r>
        <w:t>- 8 -</w:t>
      </w:r>
      <w:r>
        <w:fldChar w:fldCharType="end"/>
      </w:r>
      <w:r>
        <w:fldChar w:fldCharType="end"/>
      </w:r>
    </w:p>
    <w:p>
      <w:pPr>
        <w:pStyle w:val="21"/>
        <w:tabs>
          <w:tab w:val="right" w:leader="dot" w:pos="9354"/>
        </w:tabs>
      </w:pPr>
      <w:r>
        <w:fldChar w:fldCharType="begin"/>
      </w:r>
      <w:r>
        <w:instrText xml:space="preserve"> HYPERLINK \l _Toc20643 </w:instrText>
      </w:r>
      <w:r>
        <w:fldChar w:fldCharType="separate"/>
      </w:r>
      <w:r>
        <w:rPr>
          <w:rFonts w:hint="eastAsia"/>
        </w:rPr>
        <w:t>六、成交</w:t>
      </w:r>
      <w:r>
        <w:tab/>
      </w:r>
      <w:r>
        <w:fldChar w:fldCharType="begin"/>
      </w:r>
      <w:r>
        <w:instrText xml:space="preserve"> PAGEREF _Toc20643 \h </w:instrText>
      </w:r>
      <w:r>
        <w:fldChar w:fldCharType="separate"/>
      </w:r>
      <w:r>
        <w:t>- 22 -</w:t>
      </w:r>
      <w:r>
        <w:fldChar w:fldCharType="end"/>
      </w:r>
      <w:r>
        <w:fldChar w:fldCharType="end"/>
      </w:r>
    </w:p>
    <w:p>
      <w:pPr>
        <w:pStyle w:val="21"/>
        <w:tabs>
          <w:tab w:val="right" w:leader="dot" w:pos="9354"/>
        </w:tabs>
      </w:pPr>
      <w:r>
        <w:fldChar w:fldCharType="begin"/>
      </w:r>
      <w:r>
        <w:instrText xml:space="preserve"> HYPERLINK \l _Toc10173 </w:instrText>
      </w:r>
      <w:r>
        <w:fldChar w:fldCharType="separate"/>
      </w:r>
      <w:r>
        <w:rPr>
          <w:rFonts w:hint="eastAsia"/>
        </w:rPr>
        <w:t>七、质疑、投诉和投诉复议</w:t>
      </w:r>
      <w:r>
        <w:tab/>
      </w:r>
      <w:r>
        <w:fldChar w:fldCharType="begin"/>
      </w:r>
      <w:r>
        <w:instrText xml:space="preserve"> PAGEREF _Toc10173 \h </w:instrText>
      </w:r>
      <w:r>
        <w:fldChar w:fldCharType="separate"/>
      </w:r>
      <w:r>
        <w:t>- 23 -</w:t>
      </w:r>
      <w:r>
        <w:fldChar w:fldCharType="end"/>
      </w:r>
      <w:r>
        <w:fldChar w:fldCharType="end"/>
      </w:r>
    </w:p>
    <w:p>
      <w:pPr>
        <w:pStyle w:val="21"/>
        <w:tabs>
          <w:tab w:val="right" w:leader="dot" w:pos="9354"/>
        </w:tabs>
      </w:pPr>
      <w:r>
        <w:fldChar w:fldCharType="begin"/>
      </w:r>
      <w:r>
        <w:instrText xml:space="preserve"> HYPERLINK \l _Toc29994 </w:instrText>
      </w:r>
      <w:r>
        <w:fldChar w:fldCharType="separate"/>
      </w:r>
      <w:r>
        <w:rPr>
          <w:rFonts w:hint="eastAsia"/>
        </w:rPr>
        <w:t>八、签订合同</w:t>
      </w:r>
      <w:r>
        <w:tab/>
      </w:r>
      <w:r>
        <w:fldChar w:fldCharType="begin"/>
      </w:r>
      <w:r>
        <w:instrText xml:space="preserve"> PAGEREF _Toc29994 \h </w:instrText>
      </w:r>
      <w:r>
        <w:fldChar w:fldCharType="separate"/>
      </w:r>
      <w:r>
        <w:t>- 26 -</w:t>
      </w:r>
      <w:r>
        <w:fldChar w:fldCharType="end"/>
      </w:r>
      <w:r>
        <w:fldChar w:fldCharType="end"/>
      </w:r>
    </w:p>
    <w:p>
      <w:pPr>
        <w:pStyle w:val="21"/>
        <w:tabs>
          <w:tab w:val="right" w:leader="dot" w:pos="9354"/>
        </w:tabs>
      </w:pPr>
      <w:r>
        <w:fldChar w:fldCharType="begin"/>
      </w:r>
      <w:r>
        <w:instrText xml:space="preserve"> HYPERLINK \l _Toc21921 </w:instrText>
      </w:r>
      <w:r>
        <w:fldChar w:fldCharType="separate"/>
      </w:r>
      <w:r>
        <w:rPr>
          <w:rFonts w:hint="eastAsia"/>
        </w:rPr>
        <w:t>九、解释权限</w:t>
      </w:r>
      <w:r>
        <w:tab/>
      </w:r>
      <w:r>
        <w:fldChar w:fldCharType="begin"/>
      </w:r>
      <w:r>
        <w:instrText xml:space="preserve"> PAGEREF _Toc21921 \h </w:instrText>
      </w:r>
      <w:r>
        <w:fldChar w:fldCharType="separate"/>
      </w:r>
      <w:r>
        <w:t>- 26 -</w:t>
      </w:r>
      <w:r>
        <w:fldChar w:fldCharType="end"/>
      </w:r>
      <w:r>
        <w:fldChar w:fldCharType="end"/>
      </w:r>
    </w:p>
    <w:p>
      <w:pPr>
        <w:pStyle w:val="35"/>
        <w:tabs>
          <w:tab w:val="right" w:leader="dot" w:pos="9354"/>
        </w:tabs>
      </w:pPr>
      <w:r>
        <w:fldChar w:fldCharType="begin"/>
      </w:r>
      <w:r>
        <w:instrText xml:space="preserve"> HYPERLINK \l _Toc30302 </w:instrText>
      </w:r>
      <w:r>
        <w:fldChar w:fldCharType="separate"/>
      </w:r>
      <w:r>
        <w:rPr>
          <w:rFonts w:hint="eastAsia"/>
          <w:szCs w:val="44"/>
          <w:lang w:val="zh-CN"/>
        </w:rPr>
        <w:t>第二章 合同通用条款</w:t>
      </w:r>
      <w:r>
        <w:tab/>
      </w:r>
      <w:r>
        <w:fldChar w:fldCharType="begin"/>
      </w:r>
      <w:r>
        <w:instrText xml:space="preserve"> PAGEREF _Toc30302 \h </w:instrText>
      </w:r>
      <w:r>
        <w:fldChar w:fldCharType="separate"/>
      </w:r>
      <w:r>
        <w:t>- 30 -</w:t>
      </w:r>
      <w:r>
        <w:fldChar w:fldCharType="end"/>
      </w:r>
      <w:r>
        <w:fldChar w:fldCharType="end"/>
      </w:r>
    </w:p>
    <w:p>
      <w:pPr>
        <w:pStyle w:val="21"/>
        <w:tabs>
          <w:tab w:val="right" w:leader="dot" w:pos="9354"/>
        </w:tabs>
      </w:pPr>
      <w:r>
        <w:fldChar w:fldCharType="begin"/>
      </w:r>
      <w:r>
        <w:instrText xml:space="preserve"> HYPERLINK \l _Toc20822 </w:instrText>
      </w:r>
      <w:r>
        <w:fldChar w:fldCharType="separate"/>
      </w:r>
      <w:r>
        <w:rPr>
          <w:rFonts w:hint="eastAsia" w:ascii="黑体" w:hAnsi="黑体" w:cs="黑体"/>
          <w:szCs w:val="28"/>
        </w:rPr>
        <w:t>一、定义</w:t>
      </w:r>
      <w:r>
        <w:tab/>
      </w:r>
      <w:r>
        <w:fldChar w:fldCharType="begin"/>
      </w:r>
      <w:r>
        <w:instrText xml:space="preserve"> PAGEREF _Toc20822 \h </w:instrText>
      </w:r>
      <w:r>
        <w:fldChar w:fldCharType="separate"/>
      </w:r>
      <w:r>
        <w:t>- 30 -</w:t>
      </w:r>
      <w:r>
        <w:fldChar w:fldCharType="end"/>
      </w:r>
      <w:r>
        <w:fldChar w:fldCharType="end"/>
      </w:r>
    </w:p>
    <w:p>
      <w:pPr>
        <w:pStyle w:val="21"/>
        <w:tabs>
          <w:tab w:val="right" w:leader="dot" w:pos="9354"/>
        </w:tabs>
      </w:pPr>
      <w:r>
        <w:fldChar w:fldCharType="begin"/>
      </w:r>
      <w:r>
        <w:instrText xml:space="preserve"> HYPERLINK \l _Toc10451 </w:instrText>
      </w:r>
      <w:r>
        <w:fldChar w:fldCharType="separate"/>
      </w:r>
      <w:r>
        <w:rPr>
          <w:rFonts w:hint="eastAsia" w:ascii="黑体" w:hAnsi="黑体" w:cs="黑体"/>
          <w:szCs w:val="28"/>
        </w:rPr>
        <w:t>二、物资编目编码、打码贴签要求</w:t>
      </w:r>
      <w:r>
        <w:tab/>
      </w:r>
      <w:r>
        <w:fldChar w:fldCharType="begin"/>
      </w:r>
      <w:r>
        <w:instrText xml:space="preserve"> PAGEREF _Toc10451 \h </w:instrText>
      </w:r>
      <w:r>
        <w:fldChar w:fldCharType="separate"/>
      </w:r>
      <w:r>
        <w:t>- 30 -</w:t>
      </w:r>
      <w:r>
        <w:fldChar w:fldCharType="end"/>
      </w:r>
      <w:r>
        <w:fldChar w:fldCharType="end"/>
      </w:r>
    </w:p>
    <w:p>
      <w:pPr>
        <w:pStyle w:val="21"/>
        <w:tabs>
          <w:tab w:val="right" w:leader="dot" w:pos="9354"/>
        </w:tabs>
      </w:pPr>
      <w:r>
        <w:fldChar w:fldCharType="begin"/>
      </w:r>
      <w:r>
        <w:instrText xml:space="preserve"> HYPERLINK \l _Toc26337 </w:instrText>
      </w:r>
      <w:r>
        <w:fldChar w:fldCharType="separate"/>
      </w:r>
      <w:r>
        <w:rPr>
          <w:rFonts w:hint="eastAsia" w:ascii="黑体" w:hAnsi="黑体" w:cs="黑体"/>
          <w:szCs w:val="28"/>
        </w:rPr>
        <w:t>三、履约验收</w:t>
      </w:r>
      <w:r>
        <w:tab/>
      </w:r>
      <w:r>
        <w:fldChar w:fldCharType="begin"/>
      </w:r>
      <w:r>
        <w:instrText xml:space="preserve"> PAGEREF _Toc26337 \h </w:instrText>
      </w:r>
      <w:r>
        <w:fldChar w:fldCharType="separate"/>
      </w:r>
      <w:r>
        <w:t>- 31 -</w:t>
      </w:r>
      <w:r>
        <w:fldChar w:fldCharType="end"/>
      </w:r>
      <w:r>
        <w:fldChar w:fldCharType="end"/>
      </w:r>
    </w:p>
    <w:p>
      <w:pPr>
        <w:pStyle w:val="21"/>
        <w:tabs>
          <w:tab w:val="right" w:leader="dot" w:pos="9354"/>
        </w:tabs>
      </w:pPr>
      <w:r>
        <w:fldChar w:fldCharType="begin"/>
      </w:r>
      <w:r>
        <w:instrText xml:space="preserve"> HYPERLINK \l _Toc9752 </w:instrText>
      </w:r>
      <w:r>
        <w:fldChar w:fldCharType="separate"/>
      </w:r>
      <w:r>
        <w:rPr>
          <w:rFonts w:hint="eastAsia" w:ascii="黑体" w:hAnsi="黑体" w:cs="黑体"/>
          <w:szCs w:val="28"/>
        </w:rPr>
        <w:t>四、保密条款</w:t>
      </w:r>
      <w:r>
        <w:tab/>
      </w:r>
      <w:r>
        <w:fldChar w:fldCharType="begin"/>
      </w:r>
      <w:r>
        <w:instrText xml:space="preserve"> PAGEREF _Toc9752 \h </w:instrText>
      </w:r>
      <w:r>
        <w:fldChar w:fldCharType="separate"/>
      </w:r>
      <w:r>
        <w:t>- 31 -</w:t>
      </w:r>
      <w:r>
        <w:fldChar w:fldCharType="end"/>
      </w:r>
      <w:r>
        <w:fldChar w:fldCharType="end"/>
      </w:r>
    </w:p>
    <w:p>
      <w:pPr>
        <w:pStyle w:val="21"/>
        <w:tabs>
          <w:tab w:val="right" w:leader="dot" w:pos="9354"/>
        </w:tabs>
      </w:pPr>
      <w:r>
        <w:fldChar w:fldCharType="begin"/>
      </w:r>
      <w:r>
        <w:instrText xml:space="preserve"> HYPERLINK \l _Toc26495 </w:instrText>
      </w:r>
      <w:r>
        <w:fldChar w:fldCharType="separate"/>
      </w:r>
      <w:r>
        <w:rPr>
          <w:rFonts w:hint="eastAsia" w:ascii="黑体" w:hAnsi="黑体" w:cs="黑体"/>
          <w:szCs w:val="28"/>
        </w:rPr>
        <w:t>五、知识产权</w:t>
      </w:r>
      <w:r>
        <w:tab/>
      </w:r>
      <w:r>
        <w:fldChar w:fldCharType="begin"/>
      </w:r>
      <w:r>
        <w:instrText xml:space="preserve"> PAGEREF _Toc26495 \h </w:instrText>
      </w:r>
      <w:r>
        <w:fldChar w:fldCharType="separate"/>
      </w:r>
      <w:r>
        <w:t>- 32 -</w:t>
      </w:r>
      <w:r>
        <w:fldChar w:fldCharType="end"/>
      </w:r>
      <w:r>
        <w:fldChar w:fldCharType="end"/>
      </w:r>
    </w:p>
    <w:p>
      <w:pPr>
        <w:pStyle w:val="21"/>
        <w:tabs>
          <w:tab w:val="right" w:leader="dot" w:pos="9354"/>
        </w:tabs>
      </w:pPr>
      <w:r>
        <w:fldChar w:fldCharType="begin"/>
      </w:r>
      <w:r>
        <w:instrText xml:space="preserve"> HYPERLINK \l _Toc9363 </w:instrText>
      </w:r>
      <w:r>
        <w:fldChar w:fldCharType="separate"/>
      </w:r>
      <w:r>
        <w:rPr>
          <w:rFonts w:hint="eastAsia" w:ascii="黑体" w:hAnsi="黑体" w:cs="黑体"/>
          <w:szCs w:val="28"/>
        </w:rPr>
        <w:t>六、合同的变更和解除</w:t>
      </w:r>
      <w:r>
        <w:tab/>
      </w:r>
      <w:r>
        <w:fldChar w:fldCharType="begin"/>
      </w:r>
      <w:r>
        <w:instrText xml:space="preserve"> PAGEREF _Toc9363 \h </w:instrText>
      </w:r>
      <w:r>
        <w:fldChar w:fldCharType="separate"/>
      </w:r>
      <w:r>
        <w:t>- 33 -</w:t>
      </w:r>
      <w:r>
        <w:fldChar w:fldCharType="end"/>
      </w:r>
      <w:r>
        <w:fldChar w:fldCharType="end"/>
      </w:r>
    </w:p>
    <w:p>
      <w:pPr>
        <w:pStyle w:val="21"/>
        <w:tabs>
          <w:tab w:val="right" w:leader="dot" w:pos="9354"/>
        </w:tabs>
      </w:pPr>
      <w:r>
        <w:fldChar w:fldCharType="begin"/>
      </w:r>
      <w:r>
        <w:instrText xml:space="preserve"> HYPERLINK \l _Toc11818 </w:instrText>
      </w:r>
      <w:r>
        <w:fldChar w:fldCharType="separate"/>
      </w:r>
      <w:r>
        <w:rPr>
          <w:rFonts w:hint="eastAsia" w:ascii="黑体" w:hAnsi="黑体" w:cs="黑体"/>
          <w:szCs w:val="28"/>
        </w:rPr>
        <w:t>七、履约监督</w:t>
      </w:r>
      <w:r>
        <w:tab/>
      </w:r>
      <w:r>
        <w:fldChar w:fldCharType="begin"/>
      </w:r>
      <w:r>
        <w:instrText xml:space="preserve"> PAGEREF _Toc11818 \h </w:instrText>
      </w:r>
      <w:r>
        <w:fldChar w:fldCharType="separate"/>
      </w:r>
      <w:r>
        <w:t>- 34 -</w:t>
      </w:r>
      <w:r>
        <w:fldChar w:fldCharType="end"/>
      </w:r>
      <w:r>
        <w:fldChar w:fldCharType="end"/>
      </w:r>
    </w:p>
    <w:p>
      <w:pPr>
        <w:pStyle w:val="21"/>
        <w:tabs>
          <w:tab w:val="right" w:leader="dot" w:pos="9354"/>
        </w:tabs>
      </w:pPr>
      <w:r>
        <w:fldChar w:fldCharType="begin"/>
      </w:r>
      <w:r>
        <w:instrText xml:space="preserve"> HYPERLINK \l _Toc16602 </w:instrText>
      </w:r>
      <w:r>
        <w:fldChar w:fldCharType="separate"/>
      </w:r>
      <w:r>
        <w:rPr>
          <w:rFonts w:hint="eastAsia" w:ascii="黑体" w:hAnsi="黑体" w:cs="黑体"/>
          <w:szCs w:val="28"/>
        </w:rPr>
        <w:t>八、转包与分包</w:t>
      </w:r>
      <w:r>
        <w:tab/>
      </w:r>
      <w:r>
        <w:fldChar w:fldCharType="begin"/>
      </w:r>
      <w:r>
        <w:instrText xml:space="preserve"> PAGEREF _Toc16602 \h </w:instrText>
      </w:r>
      <w:r>
        <w:fldChar w:fldCharType="separate"/>
      </w:r>
      <w:r>
        <w:t>- 34 -</w:t>
      </w:r>
      <w:r>
        <w:fldChar w:fldCharType="end"/>
      </w:r>
      <w:r>
        <w:fldChar w:fldCharType="end"/>
      </w:r>
    </w:p>
    <w:p>
      <w:pPr>
        <w:pStyle w:val="21"/>
        <w:tabs>
          <w:tab w:val="right" w:leader="dot" w:pos="9354"/>
        </w:tabs>
      </w:pPr>
      <w:r>
        <w:fldChar w:fldCharType="begin"/>
      </w:r>
      <w:r>
        <w:instrText xml:space="preserve"> HYPERLINK \l _Toc25756 </w:instrText>
      </w:r>
      <w:r>
        <w:fldChar w:fldCharType="separate"/>
      </w:r>
      <w:r>
        <w:rPr>
          <w:rFonts w:hint="eastAsia" w:ascii="黑体" w:hAnsi="黑体" w:cs="黑体"/>
          <w:szCs w:val="28"/>
        </w:rPr>
        <w:t>九、违约责任</w:t>
      </w:r>
      <w:r>
        <w:tab/>
      </w:r>
      <w:r>
        <w:fldChar w:fldCharType="begin"/>
      </w:r>
      <w:r>
        <w:instrText xml:space="preserve"> PAGEREF _Toc25756 \h </w:instrText>
      </w:r>
      <w:r>
        <w:fldChar w:fldCharType="separate"/>
      </w:r>
      <w:r>
        <w:t>- 34 -</w:t>
      </w:r>
      <w:r>
        <w:fldChar w:fldCharType="end"/>
      </w:r>
      <w:r>
        <w:fldChar w:fldCharType="end"/>
      </w:r>
    </w:p>
    <w:p>
      <w:pPr>
        <w:pStyle w:val="21"/>
        <w:tabs>
          <w:tab w:val="right" w:leader="dot" w:pos="9354"/>
        </w:tabs>
      </w:pPr>
      <w:r>
        <w:fldChar w:fldCharType="begin"/>
      </w:r>
      <w:r>
        <w:instrText xml:space="preserve"> HYPERLINK \l _Toc26452 </w:instrText>
      </w:r>
      <w:r>
        <w:fldChar w:fldCharType="separate"/>
      </w:r>
      <w:r>
        <w:rPr>
          <w:rFonts w:hint="eastAsia" w:ascii="黑体" w:hAnsi="黑体" w:cs="黑体"/>
          <w:szCs w:val="28"/>
        </w:rPr>
        <w:t>十、争议解决方式</w:t>
      </w:r>
      <w:r>
        <w:tab/>
      </w:r>
      <w:r>
        <w:fldChar w:fldCharType="begin"/>
      </w:r>
      <w:r>
        <w:instrText xml:space="preserve"> PAGEREF _Toc26452 \h </w:instrText>
      </w:r>
      <w:r>
        <w:fldChar w:fldCharType="separate"/>
      </w:r>
      <w:r>
        <w:t>- 35 -</w:t>
      </w:r>
      <w:r>
        <w:fldChar w:fldCharType="end"/>
      </w:r>
      <w:r>
        <w:fldChar w:fldCharType="end"/>
      </w:r>
    </w:p>
    <w:p>
      <w:pPr>
        <w:pStyle w:val="35"/>
        <w:tabs>
          <w:tab w:val="right" w:leader="dot" w:pos="9354"/>
        </w:tabs>
      </w:pPr>
      <w:r>
        <w:fldChar w:fldCharType="begin"/>
      </w:r>
      <w:r>
        <w:instrText xml:space="preserve"> HYPERLINK \l _Toc20714 </w:instrText>
      </w:r>
      <w:r>
        <w:fldChar w:fldCharType="separate"/>
      </w:r>
      <w:r>
        <w:rPr>
          <w:rFonts w:hint="eastAsia"/>
          <w:szCs w:val="44"/>
          <w:lang w:val="zh-CN"/>
        </w:rPr>
        <w:t>第三章</w:t>
      </w:r>
      <w:r>
        <w:rPr>
          <w:szCs w:val="44"/>
          <w:lang w:val="zh-CN"/>
        </w:rPr>
        <w:t xml:space="preserve"> </w:t>
      </w:r>
      <w:r>
        <w:rPr>
          <w:rFonts w:hint="eastAsia"/>
          <w:szCs w:val="44"/>
          <w:lang w:val="zh-CN"/>
        </w:rPr>
        <w:t>报价文件内容及格式</w:t>
      </w:r>
      <w:r>
        <w:tab/>
      </w:r>
      <w:r>
        <w:fldChar w:fldCharType="begin"/>
      </w:r>
      <w:r>
        <w:instrText xml:space="preserve"> PAGEREF _Toc20714 \h </w:instrText>
      </w:r>
      <w:r>
        <w:fldChar w:fldCharType="separate"/>
      </w:r>
      <w:r>
        <w:t>- 36 -</w:t>
      </w:r>
      <w:r>
        <w:fldChar w:fldCharType="end"/>
      </w:r>
      <w:r>
        <w:fldChar w:fldCharType="end"/>
      </w:r>
    </w:p>
    <w:p>
      <w:pPr>
        <w:pStyle w:val="21"/>
        <w:tabs>
          <w:tab w:val="right" w:leader="dot" w:pos="9354"/>
        </w:tabs>
        <w:rPr>
          <w:b w:val="0"/>
          <w:bCs/>
        </w:rPr>
      </w:pPr>
      <w:r>
        <w:rPr>
          <w:b w:val="0"/>
          <w:bCs/>
        </w:rPr>
        <w:fldChar w:fldCharType="begin"/>
      </w:r>
      <w:r>
        <w:rPr>
          <w:b w:val="0"/>
          <w:bCs/>
        </w:rPr>
        <w:instrText xml:space="preserve"> HYPERLINK \l _Toc19419 </w:instrText>
      </w:r>
      <w:r>
        <w:rPr>
          <w:b w:val="0"/>
          <w:bCs/>
        </w:rPr>
        <w:fldChar w:fldCharType="separate"/>
      </w:r>
      <w:r>
        <w:rPr>
          <w:rFonts w:hint="eastAsia" w:ascii="方正小标宋简体" w:eastAsia="方正小标宋简体"/>
          <w:b w:val="0"/>
          <w:bCs/>
          <w:szCs w:val="52"/>
        </w:rPr>
        <w:t>一、价格文件</w:t>
      </w:r>
      <w:r>
        <w:rPr>
          <w:b w:val="0"/>
          <w:bCs/>
        </w:rPr>
        <w:tab/>
      </w:r>
      <w:r>
        <w:rPr>
          <w:b w:val="0"/>
          <w:bCs/>
        </w:rPr>
        <w:fldChar w:fldCharType="begin"/>
      </w:r>
      <w:r>
        <w:rPr>
          <w:b w:val="0"/>
          <w:bCs/>
        </w:rPr>
        <w:instrText xml:space="preserve"> PAGEREF _Toc19419 \h </w:instrText>
      </w:r>
      <w:r>
        <w:rPr>
          <w:b w:val="0"/>
          <w:bCs/>
        </w:rPr>
        <w:fldChar w:fldCharType="separate"/>
      </w:r>
      <w:r>
        <w:rPr>
          <w:b w:val="0"/>
          <w:bCs/>
        </w:rPr>
        <w:t>- 37 -</w:t>
      </w:r>
      <w:r>
        <w:rPr>
          <w:b w:val="0"/>
          <w:bCs/>
        </w:rPr>
        <w:fldChar w:fldCharType="end"/>
      </w:r>
      <w:r>
        <w:rPr>
          <w:b w:val="0"/>
          <w:bCs/>
        </w:rPr>
        <w:fldChar w:fldCharType="end"/>
      </w:r>
    </w:p>
    <w:p>
      <w:pPr>
        <w:pStyle w:val="21"/>
        <w:tabs>
          <w:tab w:val="right" w:leader="dot" w:pos="9354"/>
        </w:tabs>
        <w:rPr>
          <w:b w:val="0"/>
          <w:bCs/>
        </w:rPr>
      </w:pPr>
      <w:r>
        <w:rPr>
          <w:b w:val="0"/>
          <w:bCs/>
        </w:rPr>
        <w:fldChar w:fldCharType="begin"/>
      </w:r>
      <w:r>
        <w:rPr>
          <w:b w:val="0"/>
          <w:bCs/>
        </w:rPr>
        <w:instrText xml:space="preserve"> HYPERLINK \l _Toc19738 </w:instrText>
      </w:r>
      <w:r>
        <w:rPr>
          <w:b w:val="0"/>
          <w:bCs/>
        </w:rPr>
        <w:fldChar w:fldCharType="separate"/>
      </w:r>
      <w:r>
        <w:rPr>
          <w:rFonts w:hint="eastAsia" w:ascii="方正小标宋简体" w:eastAsia="方正小标宋简体"/>
          <w:b w:val="0"/>
          <w:bCs/>
          <w:szCs w:val="52"/>
        </w:rPr>
        <w:t>二、商务技术文件</w:t>
      </w:r>
      <w:r>
        <w:rPr>
          <w:b w:val="0"/>
          <w:bCs/>
        </w:rPr>
        <w:tab/>
      </w:r>
      <w:r>
        <w:rPr>
          <w:b w:val="0"/>
          <w:bCs/>
        </w:rPr>
        <w:fldChar w:fldCharType="begin"/>
      </w:r>
      <w:r>
        <w:rPr>
          <w:b w:val="0"/>
          <w:bCs/>
        </w:rPr>
        <w:instrText xml:space="preserve"> PAGEREF _Toc19738 \h </w:instrText>
      </w:r>
      <w:r>
        <w:rPr>
          <w:b w:val="0"/>
          <w:bCs/>
        </w:rPr>
        <w:fldChar w:fldCharType="separate"/>
      </w:r>
      <w:r>
        <w:rPr>
          <w:b w:val="0"/>
          <w:bCs/>
        </w:rPr>
        <w:t>- 44 -</w:t>
      </w:r>
      <w:r>
        <w:rPr>
          <w:b w:val="0"/>
          <w:bCs/>
        </w:rPr>
        <w:fldChar w:fldCharType="end"/>
      </w:r>
      <w:r>
        <w:rPr>
          <w:b w:val="0"/>
          <w:bCs/>
        </w:rPr>
        <w:fldChar w:fldCharType="end"/>
      </w:r>
    </w:p>
    <w:p>
      <w:pPr>
        <w:pStyle w:val="21"/>
        <w:tabs>
          <w:tab w:val="right" w:leader="dot" w:pos="9354"/>
        </w:tabs>
        <w:rPr>
          <w:b w:val="0"/>
          <w:bCs/>
        </w:rPr>
      </w:pPr>
      <w:r>
        <w:rPr>
          <w:b w:val="0"/>
          <w:bCs/>
        </w:rPr>
        <w:fldChar w:fldCharType="begin"/>
      </w:r>
      <w:r>
        <w:rPr>
          <w:b w:val="0"/>
          <w:bCs/>
        </w:rPr>
        <w:instrText xml:space="preserve"> HYPERLINK \l _Toc26519 </w:instrText>
      </w:r>
      <w:r>
        <w:rPr>
          <w:b w:val="0"/>
          <w:bCs/>
        </w:rPr>
        <w:fldChar w:fldCharType="separate"/>
      </w:r>
      <w:r>
        <w:rPr>
          <w:rFonts w:hint="eastAsia" w:ascii="方正小标宋简体" w:eastAsia="方正小标宋简体"/>
          <w:b w:val="0"/>
          <w:bCs/>
          <w:szCs w:val="52"/>
        </w:rPr>
        <w:t>三、资格证明文件</w:t>
      </w:r>
      <w:r>
        <w:rPr>
          <w:b w:val="0"/>
          <w:bCs/>
        </w:rPr>
        <w:tab/>
      </w:r>
      <w:r>
        <w:rPr>
          <w:b w:val="0"/>
          <w:bCs/>
        </w:rPr>
        <w:fldChar w:fldCharType="begin"/>
      </w:r>
      <w:r>
        <w:rPr>
          <w:b w:val="0"/>
          <w:bCs/>
        </w:rPr>
        <w:instrText xml:space="preserve"> PAGEREF _Toc26519 \h </w:instrText>
      </w:r>
      <w:r>
        <w:rPr>
          <w:b w:val="0"/>
          <w:bCs/>
        </w:rPr>
        <w:fldChar w:fldCharType="separate"/>
      </w:r>
      <w:r>
        <w:rPr>
          <w:b w:val="0"/>
          <w:bCs/>
        </w:rPr>
        <w:t>- 62 -</w:t>
      </w:r>
      <w:r>
        <w:rPr>
          <w:b w:val="0"/>
          <w:bCs/>
        </w:rPr>
        <w:fldChar w:fldCharType="end"/>
      </w:r>
      <w:r>
        <w:rPr>
          <w:b w:val="0"/>
          <w:bCs/>
        </w:rPr>
        <w:fldChar w:fldCharType="end"/>
      </w:r>
    </w:p>
    <w:p>
      <w:pPr>
        <w:pStyle w:val="30"/>
        <w:tabs>
          <w:tab w:val="right" w:leader="dot" w:pos="9354"/>
        </w:tabs>
        <w:rPr>
          <w:b w:val="0"/>
          <w:bCs/>
        </w:rPr>
      </w:pPr>
      <w:r>
        <w:rPr>
          <w:b w:val="0"/>
          <w:bCs/>
        </w:rPr>
        <w:fldChar w:fldCharType="begin"/>
      </w:r>
      <w:r>
        <w:rPr>
          <w:b w:val="0"/>
          <w:bCs/>
        </w:rPr>
        <w:instrText xml:space="preserve"> HYPERLINK \l _Toc8228 </w:instrText>
      </w:r>
      <w:r>
        <w:rPr>
          <w:b w:val="0"/>
          <w:bCs/>
        </w:rPr>
        <w:fldChar w:fldCharType="separate"/>
      </w:r>
      <w:r>
        <w:rPr>
          <w:rFonts w:hint="eastAsia" w:ascii="方正小标宋简体" w:hAnsi="Times New Roman" w:eastAsia="方正小标宋简体" w:cs="Times New Roman"/>
          <w:b w:val="0"/>
          <w:bCs/>
          <w:szCs w:val="84"/>
          <w:lang w:eastAsia="zh-CN"/>
        </w:rPr>
        <w:t>专用部分</w:t>
      </w:r>
      <w:r>
        <w:rPr>
          <w:b w:val="0"/>
          <w:bCs/>
        </w:rPr>
        <w:fldChar w:fldCharType="end"/>
      </w:r>
    </w:p>
    <w:p>
      <w:pPr>
        <w:pStyle w:val="35"/>
        <w:tabs>
          <w:tab w:val="right" w:leader="dot" w:pos="9354"/>
        </w:tabs>
        <w:rPr>
          <w:b w:val="0"/>
          <w:bCs/>
        </w:rPr>
      </w:pPr>
      <w:r>
        <w:rPr>
          <w:b w:val="0"/>
          <w:bCs/>
        </w:rPr>
        <w:fldChar w:fldCharType="begin"/>
      </w:r>
      <w:r>
        <w:rPr>
          <w:b w:val="0"/>
          <w:bCs/>
        </w:rPr>
        <w:instrText xml:space="preserve"> HYPERLINK \l _Toc30301 </w:instrText>
      </w:r>
      <w:r>
        <w:rPr>
          <w:b w:val="0"/>
          <w:bCs/>
        </w:rPr>
        <w:fldChar w:fldCharType="separate"/>
      </w:r>
      <w:r>
        <w:rPr>
          <w:rFonts w:hint="eastAsia" w:ascii="Arial" w:hAnsi="Arial" w:eastAsia="方正小标宋简体" w:cs="Times New Roman"/>
          <w:b w:val="0"/>
          <w:bCs/>
          <w:kern w:val="2"/>
          <w:szCs w:val="44"/>
          <w:lang w:val="zh-CN" w:eastAsia="zh-CN" w:bidi="ar-SA"/>
        </w:rPr>
        <w:t>报价供应商须知前附表</w:t>
      </w:r>
      <w:r>
        <w:rPr>
          <w:b w:val="0"/>
          <w:bCs/>
        </w:rPr>
        <w:tab/>
      </w:r>
      <w:r>
        <w:rPr>
          <w:b w:val="0"/>
          <w:bCs/>
        </w:rPr>
        <w:fldChar w:fldCharType="begin"/>
      </w:r>
      <w:r>
        <w:rPr>
          <w:b w:val="0"/>
          <w:bCs/>
        </w:rPr>
        <w:instrText xml:space="preserve"> PAGEREF _Toc30301 \h </w:instrText>
      </w:r>
      <w:r>
        <w:rPr>
          <w:b w:val="0"/>
          <w:bCs/>
        </w:rPr>
        <w:fldChar w:fldCharType="separate"/>
      </w:r>
      <w:r>
        <w:rPr>
          <w:b w:val="0"/>
          <w:bCs/>
        </w:rPr>
        <w:t>- 81 -</w:t>
      </w:r>
      <w:r>
        <w:rPr>
          <w:b w:val="0"/>
          <w:bCs/>
        </w:rPr>
        <w:fldChar w:fldCharType="end"/>
      </w:r>
      <w:r>
        <w:rPr>
          <w:b w:val="0"/>
          <w:bCs/>
        </w:rPr>
        <w:fldChar w:fldCharType="end"/>
      </w:r>
    </w:p>
    <w:p>
      <w:pPr>
        <w:pStyle w:val="35"/>
        <w:tabs>
          <w:tab w:val="right" w:leader="dot" w:pos="9354"/>
        </w:tabs>
        <w:rPr>
          <w:b w:val="0"/>
          <w:bCs/>
        </w:rPr>
      </w:pPr>
      <w:r>
        <w:rPr>
          <w:b w:val="0"/>
          <w:bCs/>
        </w:rPr>
        <w:fldChar w:fldCharType="begin"/>
      </w:r>
      <w:r>
        <w:rPr>
          <w:b w:val="0"/>
          <w:bCs/>
        </w:rPr>
        <w:instrText xml:space="preserve"> HYPERLINK \l _Toc27713 </w:instrText>
      </w:r>
      <w:r>
        <w:rPr>
          <w:b w:val="0"/>
          <w:bCs/>
        </w:rPr>
        <w:fldChar w:fldCharType="separate"/>
      </w:r>
      <w:r>
        <w:rPr>
          <w:rFonts w:hint="eastAsia" w:ascii="Arial" w:hAnsi="Arial" w:eastAsia="方正小标宋简体" w:cs="Times New Roman"/>
          <w:b w:val="0"/>
          <w:bCs/>
          <w:kern w:val="2"/>
          <w:szCs w:val="44"/>
          <w:lang w:val="zh-CN" w:eastAsia="zh-CN" w:bidi="ar-SA"/>
        </w:rPr>
        <w:t>第四章 谈判公告</w:t>
      </w:r>
      <w:r>
        <w:rPr>
          <w:b w:val="0"/>
          <w:bCs/>
        </w:rPr>
        <w:tab/>
      </w:r>
      <w:r>
        <w:rPr>
          <w:b w:val="0"/>
          <w:bCs/>
        </w:rPr>
        <w:fldChar w:fldCharType="begin"/>
      </w:r>
      <w:r>
        <w:rPr>
          <w:b w:val="0"/>
          <w:bCs/>
        </w:rPr>
        <w:instrText xml:space="preserve"> PAGEREF _Toc27713 \h </w:instrText>
      </w:r>
      <w:r>
        <w:rPr>
          <w:b w:val="0"/>
          <w:bCs/>
        </w:rPr>
        <w:fldChar w:fldCharType="separate"/>
      </w:r>
      <w:r>
        <w:rPr>
          <w:b w:val="0"/>
          <w:bCs/>
        </w:rPr>
        <w:t>- 83 -</w:t>
      </w:r>
      <w:r>
        <w:rPr>
          <w:b w:val="0"/>
          <w:bCs/>
        </w:rPr>
        <w:fldChar w:fldCharType="end"/>
      </w:r>
      <w:r>
        <w:rPr>
          <w:b w:val="0"/>
          <w:bCs/>
        </w:rPr>
        <w:fldChar w:fldCharType="end"/>
      </w:r>
    </w:p>
    <w:p>
      <w:pPr>
        <w:pStyle w:val="35"/>
        <w:tabs>
          <w:tab w:val="right" w:leader="dot" w:pos="9354"/>
        </w:tabs>
        <w:rPr>
          <w:b w:val="0"/>
          <w:bCs/>
        </w:rPr>
      </w:pPr>
      <w:r>
        <w:rPr>
          <w:b w:val="0"/>
          <w:bCs/>
        </w:rPr>
        <w:fldChar w:fldCharType="begin"/>
      </w:r>
      <w:r>
        <w:rPr>
          <w:b w:val="0"/>
          <w:bCs/>
        </w:rPr>
        <w:instrText xml:space="preserve"> HYPERLINK \l _Toc30809 </w:instrText>
      </w:r>
      <w:r>
        <w:rPr>
          <w:b w:val="0"/>
          <w:bCs/>
        </w:rPr>
        <w:fldChar w:fldCharType="separate"/>
      </w:r>
      <w:r>
        <w:rPr>
          <w:rFonts w:hint="eastAsia" w:ascii="Arial" w:hAnsi="Arial" w:eastAsia="方正小标宋简体" w:cs="Times New Roman"/>
          <w:b w:val="0"/>
          <w:bCs/>
          <w:kern w:val="2"/>
          <w:szCs w:val="44"/>
          <w:lang w:val="zh-CN" w:eastAsia="zh-CN" w:bidi="ar-SA"/>
        </w:rPr>
        <w:t>第五章</w:t>
      </w:r>
      <w:r>
        <w:rPr>
          <w:rFonts w:hint="eastAsia" w:ascii="Arial" w:hAnsi="Arial" w:eastAsia="方正小标宋简体" w:cs="Times New Roman"/>
          <w:b w:val="0"/>
          <w:bCs/>
          <w:kern w:val="2"/>
          <w:szCs w:val="44"/>
          <w:lang w:val="en-US" w:eastAsia="zh-CN" w:bidi="ar-SA"/>
        </w:rPr>
        <w:t xml:space="preserve"> </w:t>
      </w:r>
      <w:r>
        <w:rPr>
          <w:rFonts w:hint="eastAsia" w:ascii="Arial" w:hAnsi="Arial" w:eastAsia="方正小标宋简体" w:cs="Times New Roman"/>
          <w:b w:val="0"/>
          <w:bCs/>
          <w:kern w:val="2"/>
          <w:szCs w:val="44"/>
          <w:lang w:val="zh-CN" w:eastAsia="zh-CN" w:bidi="ar-SA"/>
        </w:rPr>
        <w:t>采购项目技术和商务要求</w:t>
      </w:r>
      <w:r>
        <w:rPr>
          <w:b w:val="0"/>
          <w:bCs/>
        </w:rPr>
        <w:tab/>
      </w:r>
      <w:r>
        <w:rPr>
          <w:b w:val="0"/>
          <w:bCs/>
        </w:rPr>
        <w:fldChar w:fldCharType="begin"/>
      </w:r>
      <w:r>
        <w:rPr>
          <w:b w:val="0"/>
          <w:bCs/>
        </w:rPr>
        <w:instrText xml:space="preserve"> PAGEREF _Toc30809 \h </w:instrText>
      </w:r>
      <w:r>
        <w:rPr>
          <w:b w:val="0"/>
          <w:bCs/>
        </w:rPr>
        <w:fldChar w:fldCharType="separate"/>
      </w:r>
      <w:r>
        <w:rPr>
          <w:b w:val="0"/>
          <w:bCs/>
        </w:rPr>
        <w:t>- 98 -</w:t>
      </w:r>
      <w:r>
        <w:rPr>
          <w:b w:val="0"/>
          <w:bCs/>
        </w:rPr>
        <w:fldChar w:fldCharType="end"/>
      </w:r>
      <w:r>
        <w:rPr>
          <w:b w:val="0"/>
          <w:bCs/>
        </w:rPr>
        <w:fldChar w:fldCharType="end"/>
      </w:r>
    </w:p>
    <w:p>
      <w:pPr>
        <w:pStyle w:val="21"/>
        <w:tabs>
          <w:tab w:val="right" w:leader="dot" w:pos="9354"/>
        </w:tabs>
        <w:rPr>
          <w:b w:val="0"/>
          <w:bCs/>
        </w:rPr>
      </w:pPr>
      <w:r>
        <w:rPr>
          <w:b w:val="0"/>
          <w:bCs/>
        </w:rPr>
        <w:fldChar w:fldCharType="begin"/>
      </w:r>
      <w:r>
        <w:rPr>
          <w:b w:val="0"/>
          <w:bCs/>
        </w:rPr>
        <w:instrText xml:space="preserve"> HYPERLINK \l _Toc17528 </w:instrText>
      </w:r>
      <w:r>
        <w:rPr>
          <w:b w:val="0"/>
          <w:bCs/>
        </w:rPr>
        <w:fldChar w:fldCharType="separate"/>
      </w:r>
      <w:r>
        <w:rPr>
          <w:rFonts w:hint="eastAsia" w:ascii="黑体" w:hAnsi="黑体" w:eastAsia="黑体" w:cs="黑体"/>
          <w:b w:val="0"/>
          <w:bCs/>
          <w:szCs w:val="28"/>
          <w:lang w:val="en-US" w:eastAsia="zh-CN"/>
        </w:rPr>
        <w:t>一、货物一览表</w:t>
      </w:r>
      <w:r>
        <w:rPr>
          <w:b w:val="0"/>
          <w:bCs/>
        </w:rPr>
        <w:tab/>
      </w:r>
      <w:r>
        <w:rPr>
          <w:b w:val="0"/>
          <w:bCs/>
        </w:rPr>
        <w:fldChar w:fldCharType="begin"/>
      </w:r>
      <w:r>
        <w:rPr>
          <w:b w:val="0"/>
          <w:bCs/>
        </w:rPr>
        <w:instrText xml:space="preserve"> PAGEREF _Toc17528 \h </w:instrText>
      </w:r>
      <w:r>
        <w:rPr>
          <w:b w:val="0"/>
          <w:bCs/>
        </w:rPr>
        <w:fldChar w:fldCharType="separate"/>
      </w:r>
      <w:r>
        <w:rPr>
          <w:b w:val="0"/>
          <w:bCs/>
        </w:rPr>
        <w:t>- 98 -</w:t>
      </w:r>
      <w:r>
        <w:rPr>
          <w:b w:val="0"/>
          <w:bCs/>
        </w:rPr>
        <w:fldChar w:fldCharType="end"/>
      </w:r>
      <w:r>
        <w:rPr>
          <w:b w:val="0"/>
          <w:bCs/>
        </w:rPr>
        <w:fldChar w:fldCharType="end"/>
      </w:r>
    </w:p>
    <w:p>
      <w:pPr>
        <w:pStyle w:val="21"/>
        <w:tabs>
          <w:tab w:val="right" w:leader="dot" w:pos="9354"/>
        </w:tabs>
        <w:rPr>
          <w:b w:val="0"/>
          <w:bCs/>
        </w:rPr>
      </w:pPr>
      <w:r>
        <w:rPr>
          <w:b w:val="0"/>
          <w:bCs/>
        </w:rPr>
        <w:fldChar w:fldCharType="begin"/>
      </w:r>
      <w:r>
        <w:rPr>
          <w:b w:val="0"/>
          <w:bCs/>
        </w:rPr>
        <w:instrText xml:space="preserve"> HYPERLINK \l _Toc8661 </w:instrText>
      </w:r>
      <w:r>
        <w:rPr>
          <w:b w:val="0"/>
          <w:bCs/>
        </w:rPr>
        <w:fldChar w:fldCharType="separate"/>
      </w:r>
      <w:r>
        <w:rPr>
          <w:rFonts w:hint="eastAsia" w:ascii="黑体" w:hAnsi="黑体" w:eastAsia="黑体" w:cs="黑体"/>
          <w:b w:val="0"/>
          <w:bCs/>
          <w:szCs w:val="28"/>
          <w:lang w:val="en-US" w:eastAsia="zh-CN"/>
        </w:rPr>
        <w:t>二</w:t>
      </w:r>
      <w:r>
        <w:rPr>
          <w:rFonts w:hint="eastAsia" w:ascii="黑体" w:hAnsi="黑体" w:eastAsia="黑体" w:cs="黑体"/>
          <w:b w:val="0"/>
          <w:bCs/>
          <w:szCs w:val="28"/>
        </w:rPr>
        <w:t>、技术要求</w:t>
      </w:r>
      <w:r>
        <w:rPr>
          <w:b w:val="0"/>
          <w:bCs/>
        </w:rPr>
        <w:tab/>
      </w:r>
      <w:r>
        <w:rPr>
          <w:b w:val="0"/>
          <w:bCs/>
        </w:rPr>
        <w:fldChar w:fldCharType="begin"/>
      </w:r>
      <w:r>
        <w:rPr>
          <w:b w:val="0"/>
          <w:bCs/>
        </w:rPr>
        <w:instrText xml:space="preserve"> PAGEREF _Toc8661 \h </w:instrText>
      </w:r>
      <w:r>
        <w:rPr>
          <w:b w:val="0"/>
          <w:bCs/>
        </w:rPr>
        <w:fldChar w:fldCharType="separate"/>
      </w:r>
      <w:r>
        <w:rPr>
          <w:b w:val="0"/>
          <w:bCs/>
        </w:rPr>
        <w:t>- 98 -</w:t>
      </w:r>
      <w:r>
        <w:rPr>
          <w:b w:val="0"/>
          <w:bCs/>
        </w:rPr>
        <w:fldChar w:fldCharType="end"/>
      </w:r>
      <w:r>
        <w:rPr>
          <w:b w:val="0"/>
          <w:bCs/>
        </w:rPr>
        <w:fldChar w:fldCharType="end"/>
      </w:r>
    </w:p>
    <w:p>
      <w:pPr>
        <w:pStyle w:val="21"/>
        <w:tabs>
          <w:tab w:val="right" w:leader="dot" w:pos="9354"/>
        </w:tabs>
        <w:rPr>
          <w:b w:val="0"/>
          <w:bCs/>
        </w:rPr>
      </w:pPr>
      <w:r>
        <w:rPr>
          <w:b w:val="0"/>
          <w:bCs/>
        </w:rPr>
        <w:fldChar w:fldCharType="begin"/>
      </w:r>
      <w:r>
        <w:rPr>
          <w:b w:val="0"/>
          <w:bCs/>
        </w:rPr>
        <w:instrText xml:space="preserve"> HYPERLINK \l _Toc19396 </w:instrText>
      </w:r>
      <w:r>
        <w:rPr>
          <w:b w:val="0"/>
          <w:bCs/>
        </w:rPr>
        <w:fldChar w:fldCharType="separate"/>
      </w:r>
      <w:r>
        <w:rPr>
          <w:rFonts w:hint="eastAsia" w:ascii="黑体" w:hAnsi="黑体" w:eastAsia="黑体" w:cs="黑体"/>
          <w:b w:val="0"/>
          <w:bCs/>
          <w:szCs w:val="28"/>
          <w:lang w:val="en-US" w:eastAsia="zh-CN"/>
        </w:rPr>
        <w:t>三</w:t>
      </w:r>
      <w:r>
        <w:rPr>
          <w:rFonts w:hint="eastAsia" w:ascii="黑体" w:hAnsi="黑体" w:eastAsia="黑体" w:cs="黑体"/>
          <w:b w:val="0"/>
          <w:bCs/>
          <w:szCs w:val="28"/>
        </w:rPr>
        <w:t>、商务要求</w:t>
      </w:r>
      <w:r>
        <w:rPr>
          <w:b w:val="0"/>
          <w:bCs/>
        </w:rPr>
        <w:tab/>
      </w:r>
      <w:r>
        <w:rPr>
          <w:b w:val="0"/>
          <w:bCs/>
        </w:rPr>
        <w:fldChar w:fldCharType="begin"/>
      </w:r>
      <w:r>
        <w:rPr>
          <w:b w:val="0"/>
          <w:bCs/>
        </w:rPr>
        <w:instrText xml:space="preserve"> PAGEREF _Toc19396 \h </w:instrText>
      </w:r>
      <w:r>
        <w:rPr>
          <w:b w:val="0"/>
          <w:bCs/>
        </w:rPr>
        <w:fldChar w:fldCharType="separate"/>
      </w:r>
      <w:r>
        <w:rPr>
          <w:b w:val="0"/>
          <w:bCs/>
        </w:rPr>
        <w:t>- 99 -</w:t>
      </w:r>
      <w:r>
        <w:rPr>
          <w:b w:val="0"/>
          <w:bCs/>
        </w:rPr>
        <w:fldChar w:fldCharType="end"/>
      </w:r>
      <w:r>
        <w:rPr>
          <w:b w:val="0"/>
          <w:bCs/>
        </w:rPr>
        <w:fldChar w:fldCharType="end"/>
      </w:r>
    </w:p>
    <w:p>
      <w:pPr>
        <w:pStyle w:val="35"/>
        <w:tabs>
          <w:tab w:val="right" w:leader="dot" w:pos="9354"/>
        </w:tabs>
        <w:rPr>
          <w:b w:val="0"/>
          <w:bCs/>
        </w:rPr>
      </w:pPr>
      <w:r>
        <w:rPr>
          <w:b w:val="0"/>
          <w:bCs/>
        </w:rPr>
        <w:fldChar w:fldCharType="begin"/>
      </w:r>
      <w:r>
        <w:rPr>
          <w:b w:val="0"/>
          <w:bCs/>
        </w:rPr>
        <w:instrText xml:space="preserve"> HYPERLINK \l _Toc12881 </w:instrText>
      </w:r>
      <w:r>
        <w:rPr>
          <w:b w:val="0"/>
          <w:bCs/>
        </w:rPr>
        <w:fldChar w:fldCharType="separate"/>
      </w:r>
      <w:r>
        <w:rPr>
          <w:rFonts w:hint="eastAsia" w:ascii="Arial" w:hAnsi="Arial" w:eastAsia="方正小标宋简体" w:cs="Times New Roman"/>
          <w:b w:val="0"/>
          <w:bCs/>
          <w:kern w:val="2"/>
          <w:szCs w:val="44"/>
          <w:lang w:val="zh-CN" w:eastAsia="zh-CN" w:bidi="ar-SA"/>
        </w:rPr>
        <w:t>第六章 合同专用条款</w:t>
      </w:r>
      <w:r>
        <w:rPr>
          <w:b w:val="0"/>
          <w:bCs/>
        </w:rPr>
        <w:tab/>
      </w:r>
      <w:r>
        <w:rPr>
          <w:b w:val="0"/>
          <w:bCs/>
        </w:rPr>
        <w:fldChar w:fldCharType="begin"/>
      </w:r>
      <w:r>
        <w:rPr>
          <w:b w:val="0"/>
          <w:bCs/>
        </w:rPr>
        <w:instrText xml:space="preserve"> PAGEREF _Toc12881 \h </w:instrText>
      </w:r>
      <w:r>
        <w:rPr>
          <w:b w:val="0"/>
          <w:bCs/>
        </w:rPr>
        <w:fldChar w:fldCharType="separate"/>
      </w:r>
      <w:r>
        <w:rPr>
          <w:b w:val="0"/>
          <w:bCs/>
        </w:rPr>
        <w:t>- 103 -</w:t>
      </w:r>
      <w:r>
        <w:rPr>
          <w:b w:val="0"/>
          <w:bCs/>
        </w:rPr>
        <w:fldChar w:fldCharType="end"/>
      </w:r>
      <w:r>
        <w:rPr>
          <w:b w:val="0"/>
          <w:bCs/>
        </w:rPr>
        <w:fldChar w:fldCharType="end"/>
      </w:r>
    </w:p>
    <w:p>
      <w:pPr>
        <w:pStyle w:val="21"/>
        <w:tabs>
          <w:tab w:val="right" w:leader="dot" w:pos="9354"/>
        </w:tabs>
        <w:rPr>
          <w:b w:val="0"/>
          <w:bCs/>
        </w:rPr>
      </w:pPr>
      <w:r>
        <w:rPr>
          <w:b w:val="0"/>
          <w:bCs/>
        </w:rPr>
        <w:fldChar w:fldCharType="begin"/>
      </w:r>
      <w:r>
        <w:rPr>
          <w:b w:val="0"/>
          <w:bCs/>
        </w:rPr>
        <w:instrText xml:space="preserve"> HYPERLINK \l _Toc4689 </w:instrText>
      </w:r>
      <w:r>
        <w:rPr>
          <w:b w:val="0"/>
          <w:bCs/>
        </w:rPr>
        <w:fldChar w:fldCharType="separate"/>
      </w:r>
      <w:r>
        <w:rPr>
          <w:rFonts w:hint="eastAsia" w:ascii="黑体" w:hAnsi="黑体" w:eastAsia="黑体" w:cs="黑体"/>
          <w:b w:val="0"/>
          <w:bCs/>
          <w:szCs w:val="28"/>
        </w:rPr>
        <w:t>一、定义</w:t>
      </w:r>
      <w:r>
        <w:rPr>
          <w:b w:val="0"/>
          <w:bCs/>
        </w:rPr>
        <w:tab/>
      </w:r>
      <w:r>
        <w:rPr>
          <w:b w:val="0"/>
          <w:bCs/>
        </w:rPr>
        <w:fldChar w:fldCharType="begin"/>
      </w:r>
      <w:r>
        <w:rPr>
          <w:b w:val="0"/>
          <w:bCs/>
        </w:rPr>
        <w:instrText xml:space="preserve"> PAGEREF _Toc4689 \h </w:instrText>
      </w:r>
      <w:r>
        <w:rPr>
          <w:b w:val="0"/>
          <w:bCs/>
        </w:rPr>
        <w:fldChar w:fldCharType="separate"/>
      </w:r>
      <w:r>
        <w:rPr>
          <w:b w:val="0"/>
          <w:bCs/>
        </w:rPr>
        <w:t>- 104 -</w:t>
      </w:r>
      <w:r>
        <w:rPr>
          <w:b w:val="0"/>
          <w:bCs/>
        </w:rPr>
        <w:fldChar w:fldCharType="end"/>
      </w:r>
      <w:r>
        <w:rPr>
          <w:b w:val="0"/>
          <w:bCs/>
        </w:rPr>
        <w:fldChar w:fldCharType="end"/>
      </w:r>
    </w:p>
    <w:p>
      <w:pPr>
        <w:pStyle w:val="21"/>
        <w:tabs>
          <w:tab w:val="right" w:leader="dot" w:pos="9354"/>
        </w:tabs>
        <w:rPr>
          <w:b w:val="0"/>
          <w:bCs/>
        </w:rPr>
      </w:pPr>
      <w:r>
        <w:rPr>
          <w:b w:val="0"/>
          <w:bCs/>
        </w:rPr>
        <w:fldChar w:fldCharType="begin"/>
      </w:r>
      <w:r>
        <w:rPr>
          <w:b w:val="0"/>
          <w:bCs/>
        </w:rPr>
        <w:instrText xml:space="preserve"> HYPERLINK \l _Toc13644 </w:instrText>
      </w:r>
      <w:r>
        <w:rPr>
          <w:b w:val="0"/>
          <w:bCs/>
        </w:rPr>
        <w:fldChar w:fldCharType="separate"/>
      </w:r>
      <w:r>
        <w:rPr>
          <w:rFonts w:hint="eastAsia" w:ascii="黑体" w:hAnsi="黑体" w:eastAsia="黑体" w:cs="黑体"/>
          <w:b w:val="0"/>
          <w:bCs/>
          <w:szCs w:val="28"/>
        </w:rPr>
        <w:t>二、货物内容</w:t>
      </w:r>
      <w:r>
        <w:rPr>
          <w:b w:val="0"/>
          <w:bCs/>
        </w:rPr>
        <w:tab/>
      </w:r>
      <w:r>
        <w:rPr>
          <w:b w:val="0"/>
          <w:bCs/>
        </w:rPr>
        <w:fldChar w:fldCharType="begin"/>
      </w:r>
      <w:r>
        <w:rPr>
          <w:b w:val="0"/>
          <w:bCs/>
        </w:rPr>
        <w:instrText xml:space="preserve"> PAGEREF _Toc13644 \h </w:instrText>
      </w:r>
      <w:r>
        <w:rPr>
          <w:b w:val="0"/>
          <w:bCs/>
        </w:rPr>
        <w:fldChar w:fldCharType="separate"/>
      </w:r>
      <w:r>
        <w:rPr>
          <w:b w:val="0"/>
          <w:bCs/>
        </w:rPr>
        <w:t>- 104 -</w:t>
      </w:r>
      <w:r>
        <w:rPr>
          <w:b w:val="0"/>
          <w:bCs/>
        </w:rPr>
        <w:fldChar w:fldCharType="end"/>
      </w:r>
      <w:r>
        <w:rPr>
          <w:b w:val="0"/>
          <w:bCs/>
        </w:rPr>
        <w:fldChar w:fldCharType="end"/>
      </w:r>
    </w:p>
    <w:p>
      <w:pPr>
        <w:pStyle w:val="21"/>
        <w:tabs>
          <w:tab w:val="right" w:leader="dot" w:pos="9354"/>
        </w:tabs>
        <w:rPr>
          <w:b w:val="0"/>
          <w:bCs/>
        </w:rPr>
      </w:pPr>
      <w:r>
        <w:rPr>
          <w:b w:val="0"/>
          <w:bCs/>
        </w:rPr>
        <w:fldChar w:fldCharType="begin"/>
      </w:r>
      <w:r>
        <w:rPr>
          <w:b w:val="0"/>
          <w:bCs/>
        </w:rPr>
        <w:instrText xml:space="preserve"> HYPERLINK \l _Toc18838 </w:instrText>
      </w:r>
      <w:r>
        <w:rPr>
          <w:b w:val="0"/>
          <w:bCs/>
        </w:rPr>
        <w:fldChar w:fldCharType="separate"/>
      </w:r>
      <w:r>
        <w:rPr>
          <w:rFonts w:hint="eastAsia" w:ascii="黑体" w:eastAsia="黑体" w:cs="Times New Roman"/>
          <w:b w:val="0"/>
          <w:bCs/>
          <w:szCs w:val="28"/>
          <w:lang w:val="en-US" w:eastAsia="zh-CN"/>
        </w:rPr>
        <w:t>三</w:t>
      </w:r>
      <w:r>
        <w:rPr>
          <w:rFonts w:hint="eastAsia" w:ascii="黑体" w:hAnsi="Times New Roman" w:eastAsia="黑体" w:cs="Times New Roman"/>
          <w:b w:val="0"/>
          <w:bCs/>
          <w:szCs w:val="28"/>
        </w:rPr>
        <w:t>、质量要求及技术标准</w:t>
      </w:r>
      <w:r>
        <w:rPr>
          <w:b w:val="0"/>
          <w:bCs/>
        </w:rPr>
        <w:tab/>
      </w:r>
      <w:r>
        <w:rPr>
          <w:b w:val="0"/>
          <w:bCs/>
        </w:rPr>
        <w:fldChar w:fldCharType="begin"/>
      </w:r>
      <w:r>
        <w:rPr>
          <w:b w:val="0"/>
          <w:bCs/>
        </w:rPr>
        <w:instrText xml:space="preserve"> PAGEREF _Toc18838 \h </w:instrText>
      </w:r>
      <w:r>
        <w:rPr>
          <w:b w:val="0"/>
          <w:bCs/>
        </w:rPr>
        <w:fldChar w:fldCharType="separate"/>
      </w:r>
      <w:r>
        <w:rPr>
          <w:b w:val="0"/>
          <w:bCs/>
        </w:rPr>
        <w:t>- 104 -</w:t>
      </w:r>
      <w:r>
        <w:rPr>
          <w:b w:val="0"/>
          <w:bCs/>
        </w:rPr>
        <w:fldChar w:fldCharType="end"/>
      </w:r>
      <w:r>
        <w:rPr>
          <w:b w:val="0"/>
          <w:bCs/>
        </w:rPr>
        <w:fldChar w:fldCharType="end"/>
      </w:r>
    </w:p>
    <w:p>
      <w:pPr>
        <w:pStyle w:val="21"/>
        <w:tabs>
          <w:tab w:val="right" w:leader="dot" w:pos="9354"/>
        </w:tabs>
        <w:rPr>
          <w:b w:val="0"/>
          <w:bCs/>
        </w:rPr>
      </w:pPr>
      <w:r>
        <w:rPr>
          <w:b w:val="0"/>
          <w:bCs/>
        </w:rPr>
        <w:fldChar w:fldCharType="begin"/>
      </w:r>
      <w:r>
        <w:rPr>
          <w:b w:val="0"/>
          <w:bCs/>
        </w:rPr>
        <w:instrText xml:space="preserve"> HYPERLINK \l _Toc627 </w:instrText>
      </w:r>
      <w:r>
        <w:rPr>
          <w:b w:val="0"/>
          <w:bCs/>
        </w:rPr>
        <w:fldChar w:fldCharType="separate"/>
      </w:r>
      <w:r>
        <w:rPr>
          <w:rFonts w:hint="eastAsia" w:ascii="黑体" w:eastAsia="黑体" w:cs="Times New Roman"/>
          <w:b w:val="0"/>
          <w:bCs/>
          <w:szCs w:val="28"/>
          <w:lang w:val="en-US" w:eastAsia="zh-CN"/>
        </w:rPr>
        <w:t>四、包装及技术资料</w:t>
      </w:r>
      <w:r>
        <w:rPr>
          <w:b w:val="0"/>
          <w:bCs/>
        </w:rPr>
        <w:tab/>
      </w:r>
      <w:r>
        <w:rPr>
          <w:b w:val="0"/>
          <w:bCs/>
        </w:rPr>
        <w:fldChar w:fldCharType="begin"/>
      </w:r>
      <w:r>
        <w:rPr>
          <w:b w:val="0"/>
          <w:bCs/>
        </w:rPr>
        <w:instrText xml:space="preserve"> PAGEREF _Toc627 \h </w:instrText>
      </w:r>
      <w:r>
        <w:rPr>
          <w:b w:val="0"/>
          <w:bCs/>
        </w:rPr>
        <w:fldChar w:fldCharType="separate"/>
      </w:r>
      <w:r>
        <w:rPr>
          <w:b w:val="0"/>
          <w:bCs/>
        </w:rPr>
        <w:t>- 104 -</w:t>
      </w:r>
      <w:r>
        <w:rPr>
          <w:b w:val="0"/>
          <w:bCs/>
        </w:rPr>
        <w:fldChar w:fldCharType="end"/>
      </w:r>
      <w:r>
        <w:rPr>
          <w:b w:val="0"/>
          <w:bCs/>
        </w:rPr>
        <w:fldChar w:fldCharType="end"/>
      </w:r>
    </w:p>
    <w:p>
      <w:pPr>
        <w:pStyle w:val="21"/>
        <w:tabs>
          <w:tab w:val="right" w:leader="dot" w:pos="9354"/>
        </w:tabs>
        <w:rPr>
          <w:b w:val="0"/>
          <w:bCs/>
        </w:rPr>
      </w:pPr>
      <w:r>
        <w:rPr>
          <w:b w:val="0"/>
          <w:bCs/>
        </w:rPr>
        <w:fldChar w:fldCharType="begin"/>
      </w:r>
      <w:r>
        <w:rPr>
          <w:b w:val="0"/>
          <w:bCs/>
        </w:rPr>
        <w:instrText xml:space="preserve"> HYPERLINK \l _Toc28255 </w:instrText>
      </w:r>
      <w:r>
        <w:rPr>
          <w:b w:val="0"/>
          <w:bCs/>
        </w:rPr>
        <w:fldChar w:fldCharType="separate"/>
      </w:r>
      <w:r>
        <w:rPr>
          <w:rFonts w:hint="eastAsia" w:ascii="黑体" w:eastAsia="黑体" w:cs="Times New Roman"/>
          <w:b w:val="0"/>
          <w:bCs/>
          <w:szCs w:val="28"/>
          <w:lang w:val="en-US" w:eastAsia="zh-CN"/>
        </w:rPr>
        <w:t>五</w:t>
      </w:r>
      <w:r>
        <w:rPr>
          <w:rFonts w:hint="eastAsia" w:ascii="黑体" w:hAnsi="Times New Roman" w:eastAsia="黑体" w:cs="Times New Roman"/>
          <w:b w:val="0"/>
          <w:bCs/>
          <w:szCs w:val="28"/>
        </w:rPr>
        <w:t>、交货时间、地点、方式</w:t>
      </w:r>
      <w:r>
        <w:rPr>
          <w:b w:val="0"/>
          <w:bCs/>
        </w:rPr>
        <w:tab/>
      </w:r>
      <w:r>
        <w:rPr>
          <w:b w:val="0"/>
          <w:bCs/>
        </w:rPr>
        <w:fldChar w:fldCharType="begin"/>
      </w:r>
      <w:r>
        <w:rPr>
          <w:b w:val="0"/>
          <w:bCs/>
        </w:rPr>
        <w:instrText xml:space="preserve"> PAGEREF _Toc28255 \h </w:instrText>
      </w:r>
      <w:r>
        <w:rPr>
          <w:b w:val="0"/>
          <w:bCs/>
        </w:rPr>
        <w:fldChar w:fldCharType="separate"/>
      </w:r>
      <w:r>
        <w:rPr>
          <w:b w:val="0"/>
          <w:bCs/>
        </w:rPr>
        <w:t>- 105 -</w:t>
      </w:r>
      <w:r>
        <w:rPr>
          <w:b w:val="0"/>
          <w:bCs/>
        </w:rPr>
        <w:fldChar w:fldCharType="end"/>
      </w:r>
      <w:r>
        <w:rPr>
          <w:b w:val="0"/>
          <w:bCs/>
        </w:rPr>
        <w:fldChar w:fldCharType="end"/>
      </w:r>
    </w:p>
    <w:p>
      <w:pPr>
        <w:pStyle w:val="21"/>
        <w:tabs>
          <w:tab w:val="right" w:leader="dot" w:pos="9354"/>
        </w:tabs>
        <w:rPr>
          <w:b w:val="0"/>
          <w:bCs/>
        </w:rPr>
      </w:pPr>
      <w:r>
        <w:rPr>
          <w:b w:val="0"/>
          <w:bCs/>
        </w:rPr>
        <w:fldChar w:fldCharType="begin"/>
      </w:r>
      <w:r>
        <w:rPr>
          <w:b w:val="0"/>
          <w:bCs/>
        </w:rPr>
        <w:instrText xml:space="preserve"> HYPERLINK \l _Toc16389 </w:instrText>
      </w:r>
      <w:r>
        <w:rPr>
          <w:b w:val="0"/>
          <w:bCs/>
        </w:rPr>
        <w:fldChar w:fldCharType="separate"/>
      </w:r>
      <w:r>
        <w:rPr>
          <w:rFonts w:hint="eastAsia" w:ascii="黑体" w:eastAsia="黑体" w:cs="Times New Roman"/>
          <w:b w:val="0"/>
          <w:bCs/>
          <w:szCs w:val="28"/>
          <w:lang w:val="en-US" w:eastAsia="zh-CN"/>
        </w:rPr>
        <w:t>六</w:t>
      </w:r>
      <w:r>
        <w:rPr>
          <w:rFonts w:hint="eastAsia" w:ascii="黑体" w:hAnsi="Times New Roman" w:eastAsia="黑体" w:cs="Times New Roman"/>
          <w:b w:val="0"/>
          <w:bCs/>
          <w:szCs w:val="28"/>
        </w:rPr>
        <w:t>、质量验收</w:t>
      </w:r>
      <w:r>
        <w:rPr>
          <w:b w:val="0"/>
          <w:bCs/>
        </w:rPr>
        <w:tab/>
      </w:r>
      <w:r>
        <w:rPr>
          <w:b w:val="0"/>
          <w:bCs/>
        </w:rPr>
        <w:fldChar w:fldCharType="begin"/>
      </w:r>
      <w:r>
        <w:rPr>
          <w:b w:val="0"/>
          <w:bCs/>
        </w:rPr>
        <w:instrText xml:space="preserve"> PAGEREF _Toc16389 \h </w:instrText>
      </w:r>
      <w:r>
        <w:rPr>
          <w:b w:val="0"/>
          <w:bCs/>
        </w:rPr>
        <w:fldChar w:fldCharType="separate"/>
      </w:r>
      <w:r>
        <w:rPr>
          <w:b w:val="0"/>
          <w:bCs/>
        </w:rPr>
        <w:t>- 105 -</w:t>
      </w:r>
      <w:r>
        <w:rPr>
          <w:b w:val="0"/>
          <w:bCs/>
        </w:rPr>
        <w:fldChar w:fldCharType="end"/>
      </w:r>
      <w:r>
        <w:rPr>
          <w:b w:val="0"/>
          <w:bCs/>
        </w:rPr>
        <w:fldChar w:fldCharType="end"/>
      </w:r>
    </w:p>
    <w:p>
      <w:pPr>
        <w:pStyle w:val="21"/>
        <w:tabs>
          <w:tab w:val="right" w:leader="dot" w:pos="9354"/>
        </w:tabs>
        <w:rPr>
          <w:b w:val="0"/>
          <w:bCs/>
        </w:rPr>
      </w:pPr>
      <w:r>
        <w:rPr>
          <w:b w:val="0"/>
          <w:bCs/>
        </w:rPr>
        <w:fldChar w:fldCharType="begin"/>
      </w:r>
      <w:r>
        <w:rPr>
          <w:b w:val="0"/>
          <w:bCs/>
        </w:rPr>
        <w:instrText xml:space="preserve"> HYPERLINK \l _Toc16384 </w:instrText>
      </w:r>
      <w:r>
        <w:rPr>
          <w:b w:val="0"/>
          <w:bCs/>
        </w:rPr>
        <w:fldChar w:fldCharType="separate"/>
      </w:r>
      <w:r>
        <w:rPr>
          <w:rFonts w:hint="eastAsia" w:ascii="黑体" w:eastAsia="黑体" w:cs="Times New Roman"/>
          <w:b w:val="0"/>
          <w:bCs/>
          <w:szCs w:val="28"/>
          <w:lang w:val="en-US" w:eastAsia="zh-CN"/>
        </w:rPr>
        <w:t>七</w:t>
      </w:r>
      <w:r>
        <w:rPr>
          <w:rFonts w:hint="eastAsia" w:ascii="黑体" w:hAnsi="Times New Roman" w:eastAsia="黑体" w:cs="Times New Roman"/>
          <w:b w:val="0"/>
          <w:bCs/>
          <w:szCs w:val="28"/>
        </w:rPr>
        <w:t>、货物打码贴签要求</w:t>
      </w:r>
      <w:r>
        <w:rPr>
          <w:b w:val="0"/>
          <w:bCs/>
        </w:rPr>
        <w:tab/>
      </w:r>
      <w:r>
        <w:rPr>
          <w:b w:val="0"/>
          <w:bCs/>
        </w:rPr>
        <w:fldChar w:fldCharType="begin"/>
      </w:r>
      <w:r>
        <w:rPr>
          <w:b w:val="0"/>
          <w:bCs/>
        </w:rPr>
        <w:instrText xml:space="preserve"> PAGEREF _Toc16384 \h </w:instrText>
      </w:r>
      <w:r>
        <w:rPr>
          <w:b w:val="0"/>
          <w:bCs/>
        </w:rPr>
        <w:fldChar w:fldCharType="separate"/>
      </w:r>
      <w:r>
        <w:rPr>
          <w:b w:val="0"/>
          <w:bCs/>
        </w:rPr>
        <w:t>- 105 -</w:t>
      </w:r>
      <w:r>
        <w:rPr>
          <w:b w:val="0"/>
          <w:bCs/>
        </w:rPr>
        <w:fldChar w:fldCharType="end"/>
      </w:r>
      <w:r>
        <w:rPr>
          <w:b w:val="0"/>
          <w:bCs/>
        </w:rPr>
        <w:fldChar w:fldCharType="end"/>
      </w:r>
    </w:p>
    <w:p>
      <w:pPr>
        <w:pStyle w:val="21"/>
        <w:tabs>
          <w:tab w:val="right" w:leader="dot" w:pos="9354"/>
        </w:tabs>
        <w:rPr>
          <w:b w:val="0"/>
          <w:bCs/>
        </w:rPr>
      </w:pPr>
      <w:r>
        <w:rPr>
          <w:b w:val="0"/>
          <w:bCs/>
        </w:rPr>
        <w:fldChar w:fldCharType="begin"/>
      </w:r>
      <w:r>
        <w:rPr>
          <w:b w:val="0"/>
          <w:bCs/>
        </w:rPr>
        <w:instrText xml:space="preserve"> HYPERLINK \l _Toc440 </w:instrText>
      </w:r>
      <w:r>
        <w:rPr>
          <w:b w:val="0"/>
          <w:bCs/>
        </w:rPr>
        <w:fldChar w:fldCharType="separate"/>
      </w:r>
      <w:r>
        <w:rPr>
          <w:rFonts w:hint="eastAsia" w:ascii="黑体" w:hAnsi="Times New Roman" w:eastAsia="黑体" w:cs="Times New Roman"/>
          <w:b w:val="0"/>
          <w:bCs/>
          <w:szCs w:val="28"/>
          <w:lang w:val="en-US" w:eastAsia="zh-CN"/>
        </w:rPr>
        <w:t>八</w:t>
      </w:r>
      <w:r>
        <w:rPr>
          <w:rFonts w:hint="eastAsia" w:ascii="黑体" w:hAnsi="Times New Roman" w:eastAsia="黑体" w:cs="Times New Roman"/>
          <w:b w:val="0"/>
          <w:bCs/>
          <w:szCs w:val="28"/>
        </w:rPr>
        <w:t>、售后服务</w:t>
      </w:r>
      <w:r>
        <w:rPr>
          <w:b w:val="0"/>
          <w:bCs/>
        </w:rPr>
        <w:tab/>
      </w:r>
      <w:r>
        <w:rPr>
          <w:b w:val="0"/>
          <w:bCs/>
        </w:rPr>
        <w:fldChar w:fldCharType="begin"/>
      </w:r>
      <w:r>
        <w:rPr>
          <w:b w:val="0"/>
          <w:bCs/>
        </w:rPr>
        <w:instrText xml:space="preserve"> PAGEREF _Toc440 \h </w:instrText>
      </w:r>
      <w:r>
        <w:rPr>
          <w:b w:val="0"/>
          <w:bCs/>
        </w:rPr>
        <w:fldChar w:fldCharType="separate"/>
      </w:r>
      <w:r>
        <w:rPr>
          <w:b w:val="0"/>
          <w:bCs/>
        </w:rPr>
        <w:t>- 106 -</w:t>
      </w:r>
      <w:r>
        <w:rPr>
          <w:b w:val="0"/>
          <w:bCs/>
        </w:rPr>
        <w:fldChar w:fldCharType="end"/>
      </w:r>
      <w:r>
        <w:rPr>
          <w:b w:val="0"/>
          <w:bCs/>
        </w:rPr>
        <w:fldChar w:fldCharType="end"/>
      </w:r>
    </w:p>
    <w:p>
      <w:pPr>
        <w:pStyle w:val="21"/>
        <w:tabs>
          <w:tab w:val="right" w:leader="dot" w:pos="9354"/>
        </w:tabs>
        <w:rPr>
          <w:b w:val="0"/>
          <w:bCs/>
        </w:rPr>
      </w:pPr>
      <w:r>
        <w:rPr>
          <w:b w:val="0"/>
          <w:bCs/>
        </w:rPr>
        <w:fldChar w:fldCharType="begin"/>
      </w:r>
      <w:r>
        <w:rPr>
          <w:b w:val="0"/>
          <w:bCs/>
        </w:rPr>
        <w:instrText xml:space="preserve"> HYPERLINK \l _Toc22088 </w:instrText>
      </w:r>
      <w:r>
        <w:rPr>
          <w:b w:val="0"/>
          <w:bCs/>
        </w:rPr>
        <w:fldChar w:fldCharType="separate"/>
      </w:r>
      <w:r>
        <w:rPr>
          <w:rFonts w:hint="eastAsia" w:ascii="黑体" w:eastAsia="黑体" w:cs="Times New Roman"/>
          <w:b w:val="0"/>
          <w:bCs/>
          <w:szCs w:val="28"/>
          <w:lang w:val="en-US" w:eastAsia="zh-CN"/>
        </w:rPr>
        <w:t>九</w:t>
      </w:r>
      <w:r>
        <w:rPr>
          <w:rFonts w:hint="eastAsia" w:ascii="黑体" w:hAnsi="Times New Roman" w:eastAsia="黑体" w:cs="Times New Roman"/>
          <w:b w:val="0"/>
          <w:bCs/>
          <w:szCs w:val="28"/>
        </w:rPr>
        <w:t>、资金结算</w:t>
      </w:r>
      <w:r>
        <w:rPr>
          <w:b w:val="0"/>
          <w:bCs/>
        </w:rPr>
        <w:tab/>
      </w:r>
      <w:r>
        <w:rPr>
          <w:b w:val="0"/>
          <w:bCs/>
        </w:rPr>
        <w:fldChar w:fldCharType="begin"/>
      </w:r>
      <w:r>
        <w:rPr>
          <w:b w:val="0"/>
          <w:bCs/>
        </w:rPr>
        <w:instrText xml:space="preserve"> PAGEREF _Toc22088 \h </w:instrText>
      </w:r>
      <w:r>
        <w:rPr>
          <w:b w:val="0"/>
          <w:bCs/>
        </w:rPr>
        <w:fldChar w:fldCharType="separate"/>
      </w:r>
      <w:r>
        <w:rPr>
          <w:b w:val="0"/>
          <w:bCs/>
        </w:rPr>
        <w:t>- 107 -</w:t>
      </w:r>
      <w:r>
        <w:rPr>
          <w:b w:val="0"/>
          <w:bCs/>
        </w:rPr>
        <w:fldChar w:fldCharType="end"/>
      </w:r>
      <w:r>
        <w:rPr>
          <w:b w:val="0"/>
          <w:bCs/>
        </w:rPr>
        <w:fldChar w:fldCharType="end"/>
      </w:r>
    </w:p>
    <w:p>
      <w:pPr>
        <w:pStyle w:val="21"/>
        <w:tabs>
          <w:tab w:val="right" w:leader="dot" w:pos="9354"/>
        </w:tabs>
        <w:rPr>
          <w:b w:val="0"/>
          <w:bCs/>
        </w:rPr>
      </w:pPr>
      <w:r>
        <w:rPr>
          <w:b w:val="0"/>
          <w:bCs/>
        </w:rPr>
        <w:fldChar w:fldCharType="begin"/>
      </w:r>
      <w:r>
        <w:rPr>
          <w:b w:val="0"/>
          <w:bCs/>
        </w:rPr>
        <w:instrText xml:space="preserve"> HYPERLINK \l _Toc12128 </w:instrText>
      </w:r>
      <w:r>
        <w:rPr>
          <w:b w:val="0"/>
          <w:bCs/>
        </w:rPr>
        <w:fldChar w:fldCharType="separate"/>
      </w:r>
      <w:r>
        <w:rPr>
          <w:rFonts w:hint="eastAsia" w:ascii="黑体" w:hAnsi="Times New Roman" w:eastAsia="黑体" w:cs="Times New Roman"/>
          <w:b w:val="0"/>
          <w:bCs/>
          <w:szCs w:val="28"/>
          <w:lang w:val="en-US" w:eastAsia="zh-CN"/>
        </w:rPr>
        <w:t>十、</w:t>
      </w:r>
      <w:r>
        <w:rPr>
          <w:rFonts w:hint="eastAsia" w:ascii="黑体" w:hAnsi="Times New Roman" w:eastAsia="黑体" w:cs="Times New Roman"/>
          <w:b w:val="0"/>
          <w:bCs/>
          <w:szCs w:val="28"/>
        </w:rPr>
        <w:t>履约保证金和质量保证金</w:t>
      </w:r>
      <w:r>
        <w:rPr>
          <w:b w:val="0"/>
          <w:bCs/>
        </w:rPr>
        <w:tab/>
      </w:r>
      <w:r>
        <w:rPr>
          <w:b w:val="0"/>
          <w:bCs/>
        </w:rPr>
        <w:fldChar w:fldCharType="begin"/>
      </w:r>
      <w:r>
        <w:rPr>
          <w:b w:val="0"/>
          <w:bCs/>
        </w:rPr>
        <w:instrText xml:space="preserve"> PAGEREF _Toc12128 \h </w:instrText>
      </w:r>
      <w:r>
        <w:rPr>
          <w:b w:val="0"/>
          <w:bCs/>
        </w:rPr>
        <w:fldChar w:fldCharType="separate"/>
      </w:r>
      <w:r>
        <w:rPr>
          <w:b w:val="0"/>
          <w:bCs/>
        </w:rPr>
        <w:t>- 107 -</w:t>
      </w:r>
      <w:r>
        <w:rPr>
          <w:b w:val="0"/>
          <w:bCs/>
        </w:rPr>
        <w:fldChar w:fldCharType="end"/>
      </w:r>
      <w:r>
        <w:rPr>
          <w:b w:val="0"/>
          <w:bCs/>
        </w:rPr>
        <w:fldChar w:fldCharType="end"/>
      </w:r>
    </w:p>
    <w:p>
      <w:pPr>
        <w:pStyle w:val="21"/>
        <w:tabs>
          <w:tab w:val="right" w:leader="dot" w:pos="9354"/>
        </w:tabs>
        <w:rPr>
          <w:rFonts w:hint="eastAsia" w:ascii="黑体" w:hAnsi="黑体" w:eastAsia="黑体" w:cs="黑体"/>
          <w:b w:val="0"/>
          <w:bCs/>
        </w:rPr>
      </w:pPr>
      <w:r>
        <w:rPr>
          <w:rFonts w:hint="eastAsia" w:ascii="黑体" w:hAnsi="黑体" w:eastAsia="黑体" w:cs="黑体"/>
          <w:b w:val="0"/>
          <w:bCs/>
        </w:rPr>
        <w:fldChar w:fldCharType="begin"/>
      </w:r>
      <w:r>
        <w:rPr>
          <w:rFonts w:hint="eastAsia" w:ascii="黑体" w:hAnsi="黑体" w:eastAsia="黑体" w:cs="黑体"/>
          <w:b w:val="0"/>
          <w:bCs/>
        </w:rPr>
        <w:instrText xml:space="preserve"> HYPERLINK \l _Toc29681 </w:instrText>
      </w:r>
      <w:r>
        <w:rPr>
          <w:rFonts w:hint="eastAsia" w:ascii="黑体" w:hAnsi="黑体" w:eastAsia="黑体" w:cs="黑体"/>
          <w:b w:val="0"/>
          <w:bCs/>
        </w:rPr>
        <w:fldChar w:fldCharType="separate"/>
      </w:r>
      <w:r>
        <w:rPr>
          <w:rFonts w:hint="eastAsia" w:ascii="黑体" w:hAnsi="黑体" w:eastAsia="黑体" w:cs="黑体"/>
          <w:b w:val="0"/>
          <w:bCs/>
          <w:szCs w:val="28"/>
          <w:lang w:val="en-US" w:eastAsia="zh-CN"/>
        </w:rPr>
        <w:t>十一</w:t>
      </w:r>
      <w:r>
        <w:rPr>
          <w:rFonts w:hint="eastAsia" w:ascii="黑体" w:hAnsi="黑体" w:eastAsia="黑体" w:cs="黑体"/>
          <w:b w:val="0"/>
          <w:bCs/>
          <w:szCs w:val="28"/>
        </w:rPr>
        <w:t>、知识产权</w:t>
      </w:r>
      <w:r>
        <w:rPr>
          <w:rFonts w:hint="eastAsia" w:ascii="黑体" w:hAnsi="黑体" w:eastAsia="黑体" w:cs="黑体"/>
          <w:b w:val="0"/>
          <w:bCs/>
        </w:rPr>
        <w:tab/>
      </w:r>
      <w:r>
        <w:rPr>
          <w:rFonts w:hint="eastAsia" w:ascii="黑体" w:hAnsi="黑体" w:eastAsia="黑体" w:cs="黑体"/>
          <w:b w:val="0"/>
          <w:bCs/>
        </w:rPr>
        <w:fldChar w:fldCharType="begin"/>
      </w:r>
      <w:r>
        <w:rPr>
          <w:rFonts w:hint="eastAsia" w:ascii="黑体" w:hAnsi="黑体" w:eastAsia="黑体" w:cs="黑体"/>
          <w:b w:val="0"/>
          <w:bCs/>
        </w:rPr>
        <w:instrText xml:space="preserve"> PAGEREF _Toc29681 \h </w:instrText>
      </w:r>
      <w:r>
        <w:rPr>
          <w:rFonts w:hint="eastAsia" w:ascii="黑体" w:hAnsi="黑体" w:eastAsia="黑体" w:cs="黑体"/>
          <w:b w:val="0"/>
          <w:bCs/>
        </w:rPr>
        <w:fldChar w:fldCharType="separate"/>
      </w:r>
      <w:r>
        <w:rPr>
          <w:rFonts w:hint="eastAsia" w:ascii="黑体" w:hAnsi="黑体" w:eastAsia="黑体" w:cs="黑体"/>
          <w:b w:val="0"/>
          <w:bCs/>
        </w:rPr>
        <w:t>- 107 -</w:t>
      </w:r>
      <w:r>
        <w:rPr>
          <w:rFonts w:hint="eastAsia" w:ascii="黑体" w:hAnsi="黑体" w:eastAsia="黑体" w:cs="黑体"/>
          <w:b w:val="0"/>
          <w:bCs/>
        </w:rPr>
        <w:fldChar w:fldCharType="end"/>
      </w:r>
      <w:r>
        <w:rPr>
          <w:rFonts w:hint="eastAsia" w:ascii="黑体" w:hAnsi="黑体" w:eastAsia="黑体" w:cs="黑体"/>
          <w:b w:val="0"/>
          <w:bCs/>
        </w:rPr>
        <w:fldChar w:fldCharType="end"/>
      </w:r>
    </w:p>
    <w:p>
      <w:pPr>
        <w:pStyle w:val="21"/>
        <w:tabs>
          <w:tab w:val="right" w:leader="dot" w:pos="9354"/>
        </w:tabs>
        <w:rPr>
          <w:rFonts w:hint="eastAsia" w:ascii="黑体" w:hAnsi="黑体" w:eastAsia="黑体" w:cs="黑体"/>
          <w:b w:val="0"/>
          <w:bCs/>
        </w:rPr>
      </w:pPr>
      <w:r>
        <w:rPr>
          <w:rFonts w:hint="eastAsia" w:ascii="黑体" w:hAnsi="黑体" w:eastAsia="黑体" w:cs="黑体"/>
          <w:b w:val="0"/>
          <w:bCs/>
        </w:rPr>
        <w:fldChar w:fldCharType="begin"/>
      </w:r>
      <w:r>
        <w:rPr>
          <w:rFonts w:hint="eastAsia" w:ascii="黑体" w:hAnsi="黑体" w:eastAsia="黑体" w:cs="黑体"/>
          <w:b w:val="0"/>
          <w:bCs/>
        </w:rPr>
        <w:instrText xml:space="preserve"> HYPERLINK \l _Toc31265 </w:instrText>
      </w:r>
      <w:r>
        <w:rPr>
          <w:rFonts w:hint="eastAsia" w:ascii="黑体" w:hAnsi="黑体" w:eastAsia="黑体" w:cs="黑体"/>
          <w:b w:val="0"/>
          <w:bCs/>
        </w:rPr>
        <w:fldChar w:fldCharType="separate"/>
      </w:r>
      <w:r>
        <w:rPr>
          <w:rFonts w:hint="eastAsia" w:ascii="黑体" w:hAnsi="黑体" w:eastAsia="黑体" w:cs="黑体"/>
          <w:b w:val="0"/>
          <w:bCs/>
          <w:szCs w:val="28"/>
          <w:lang w:eastAsia="zh-CN"/>
        </w:rPr>
        <w:t>十</w:t>
      </w:r>
      <w:r>
        <w:rPr>
          <w:rFonts w:hint="eastAsia" w:ascii="黑体" w:hAnsi="黑体" w:eastAsia="黑体" w:cs="黑体"/>
          <w:b w:val="0"/>
          <w:bCs/>
          <w:szCs w:val="28"/>
          <w:lang w:val="en-US" w:eastAsia="zh-CN"/>
        </w:rPr>
        <w:t>二</w:t>
      </w:r>
      <w:r>
        <w:rPr>
          <w:rFonts w:hint="eastAsia" w:ascii="黑体" w:hAnsi="黑体" w:eastAsia="黑体" w:cs="黑体"/>
          <w:b w:val="0"/>
          <w:bCs/>
          <w:szCs w:val="28"/>
        </w:rPr>
        <w:t>、合同的变更和解除</w:t>
      </w:r>
      <w:r>
        <w:rPr>
          <w:rFonts w:hint="eastAsia" w:ascii="黑体" w:hAnsi="黑体" w:eastAsia="黑体" w:cs="黑体"/>
          <w:b w:val="0"/>
          <w:bCs/>
        </w:rPr>
        <w:tab/>
      </w:r>
      <w:r>
        <w:rPr>
          <w:rFonts w:hint="eastAsia" w:ascii="黑体" w:hAnsi="黑体" w:eastAsia="黑体" w:cs="黑体"/>
          <w:b w:val="0"/>
          <w:bCs/>
        </w:rPr>
        <w:fldChar w:fldCharType="begin"/>
      </w:r>
      <w:r>
        <w:rPr>
          <w:rFonts w:hint="eastAsia" w:ascii="黑体" w:hAnsi="黑体" w:eastAsia="黑体" w:cs="黑体"/>
          <w:b w:val="0"/>
          <w:bCs/>
        </w:rPr>
        <w:instrText xml:space="preserve"> PAGEREF _Toc31265 \h </w:instrText>
      </w:r>
      <w:r>
        <w:rPr>
          <w:rFonts w:hint="eastAsia" w:ascii="黑体" w:hAnsi="黑体" w:eastAsia="黑体" w:cs="黑体"/>
          <w:b w:val="0"/>
          <w:bCs/>
        </w:rPr>
        <w:fldChar w:fldCharType="separate"/>
      </w:r>
      <w:r>
        <w:rPr>
          <w:rFonts w:hint="eastAsia" w:ascii="黑体" w:hAnsi="黑体" w:eastAsia="黑体" w:cs="黑体"/>
          <w:b w:val="0"/>
          <w:bCs/>
        </w:rPr>
        <w:t>- 108 -</w:t>
      </w:r>
      <w:r>
        <w:rPr>
          <w:rFonts w:hint="eastAsia" w:ascii="黑体" w:hAnsi="黑体" w:eastAsia="黑体" w:cs="黑体"/>
          <w:b w:val="0"/>
          <w:bCs/>
        </w:rPr>
        <w:fldChar w:fldCharType="end"/>
      </w:r>
      <w:r>
        <w:rPr>
          <w:rFonts w:hint="eastAsia" w:ascii="黑体" w:hAnsi="黑体" w:eastAsia="黑体" w:cs="黑体"/>
          <w:b w:val="0"/>
          <w:bCs/>
        </w:rPr>
        <w:fldChar w:fldCharType="end"/>
      </w:r>
    </w:p>
    <w:p>
      <w:pPr>
        <w:pStyle w:val="21"/>
        <w:tabs>
          <w:tab w:val="right" w:leader="dot" w:pos="9354"/>
        </w:tabs>
        <w:rPr>
          <w:rFonts w:hint="eastAsia" w:ascii="黑体" w:hAnsi="黑体" w:eastAsia="黑体" w:cs="黑体"/>
          <w:b w:val="0"/>
          <w:bCs/>
        </w:rPr>
      </w:pPr>
      <w:r>
        <w:rPr>
          <w:rFonts w:hint="eastAsia" w:ascii="黑体" w:hAnsi="黑体" w:eastAsia="黑体" w:cs="黑体"/>
          <w:b w:val="0"/>
          <w:bCs/>
        </w:rPr>
        <w:fldChar w:fldCharType="begin"/>
      </w:r>
      <w:r>
        <w:rPr>
          <w:rFonts w:hint="eastAsia" w:ascii="黑体" w:hAnsi="黑体" w:eastAsia="黑体" w:cs="黑体"/>
          <w:b w:val="0"/>
          <w:bCs/>
        </w:rPr>
        <w:instrText xml:space="preserve"> HYPERLINK \l _Toc24986 </w:instrText>
      </w:r>
      <w:r>
        <w:rPr>
          <w:rFonts w:hint="eastAsia" w:ascii="黑体" w:hAnsi="黑体" w:eastAsia="黑体" w:cs="黑体"/>
          <w:b w:val="0"/>
          <w:bCs/>
        </w:rPr>
        <w:fldChar w:fldCharType="separate"/>
      </w:r>
      <w:r>
        <w:rPr>
          <w:rFonts w:hint="eastAsia" w:ascii="黑体" w:hAnsi="黑体" w:eastAsia="黑体" w:cs="黑体"/>
          <w:b w:val="0"/>
          <w:bCs/>
          <w:szCs w:val="28"/>
        </w:rPr>
        <w:t>十</w:t>
      </w:r>
      <w:r>
        <w:rPr>
          <w:rFonts w:hint="eastAsia" w:ascii="黑体" w:hAnsi="黑体" w:eastAsia="黑体" w:cs="黑体"/>
          <w:b w:val="0"/>
          <w:bCs/>
          <w:szCs w:val="28"/>
          <w:lang w:val="en-US" w:eastAsia="zh-CN"/>
        </w:rPr>
        <w:t>三</w:t>
      </w:r>
      <w:r>
        <w:rPr>
          <w:rFonts w:hint="eastAsia" w:ascii="黑体" w:hAnsi="黑体" w:eastAsia="黑体" w:cs="黑体"/>
          <w:b w:val="0"/>
          <w:bCs/>
          <w:szCs w:val="28"/>
        </w:rPr>
        <w:t>、履约监督</w:t>
      </w:r>
      <w:r>
        <w:rPr>
          <w:rFonts w:hint="eastAsia" w:ascii="黑体" w:hAnsi="黑体" w:eastAsia="黑体" w:cs="黑体"/>
          <w:b w:val="0"/>
          <w:bCs/>
        </w:rPr>
        <w:tab/>
      </w:r>
      <w:r>
        <w:rPr>
          <w:rFonts w:hint="eastAsia" w:ascii="黑体" w:hAnsi="黑体" w:eastAsia="黑体" w:cs="黑体"/>
          <w:b w:val="0"/>
          <w:bCs/>
        </w:rPr>
        <w:fldChar w:fldCharType="begin"/>
      </w:r>
      <w:r>
        <w:rPr>
          <w:rFonts w:hint="eastAsia" w:ascii="黑体" w:hAnsi="黑体" w:eastAsia="黑体" w:cs="黑体"/>
          <w:b w:val="0"/>
          <w:bCs/>
        </w:rPr>
        <w:instrText xml:space="preserve"> PAGEREF _Toc24986 \h </w:instrText>
      </w:r>
      <w:r>
        <w:rPr>
          <w:rFonts w:hint="eastAsia" w:ascii="黑体" w:hAnsi="黑体" w:eastAsia="黑体" w:cs="黑体"/>
          <w:b w:val="0"/>
          <w:bCs/>
        </w:rPr>
        <w:fldChar w:fldCharType="separate"/>
      </w:r>
      <w:r>
        <w:rPr>
          <w:rFonts w:hint="eastAsia" w:ascii="黑体" w:hAnsi="黑体" w:eastAsia="黑体" w:cs="黑体"/>
          <w:b w:val="0"/>
          <w:bCs/>
        </w:rPr>
        <w:t>- 109 -</w:t>
      </w:r>
      <w:r>
        <w:rPr>
          <w:rFonts w:hint="eastAsia" w:ascii="黑体" w:hAnsi="黑体" w:eastAsia="黑体" w:cs="黑体"/>
          <w:b w:val="0"/>
          <w:bCs/>
        </w:rPr>
        <w:fldChar w:fldCharType="end"/>
      </w:r>
      <w:r>
        <w:rPr>
          <w:rFonts w:hint="eastAsia" w:ascii="黑体" w:hAnsi="黑体" w:eastAsia="黑体" w:cs="黑体"/>
          <w:b w:val="0"/>
          <w:bCs/>
        </w:rPr>
        <w:fldChar w:fldCharType="end"/>
      </w:r>
    </w:p>
    <w:p>
      <w:pPr>
        <w:pStyle w:val="21"/>
        <w:tabs>
          <w:tab w:val="right" w:leader="dot" w:pos="9354"/>
        </w:tabs>
        <w:rPr>
          <w:rFonts w:hint="eastAsia" w:ascii="黑体" w:hAnsi="黑体" w:eastAsia="黑体" w:cs="黑体"/>
          <w:b w:val="0"/>
          <w:bCs/>
        </w:rPr>
      </w:pPr>
      <w:r>
        <w:rPr>
          <w:rFonts w:hint="eastAsia" w:ascii="黑体" w:hAnsi="黑体" w:eastAsia="黑体" w:cs="黑体"/>
          <w:b w:val="0"/>
          <w:bCs/>
        </w:rPr>
        <w:fldChar w:fldCharType="begin"/>
      </w:r>
      <w:r>
        <w:rPr>
          <w:rFonts w:hint="eastAsia" w:ascii="黑体" w:hAnsi="黑体" w:eastAsia="黑体" w:cs="黑体"/>
          <w:b w:val="0"/>
          <w:bCs/>
        </w:rPr>
        <w:instrText xml:space="preserve"> HYPERLINK \l _Toc7166 </w:instrText>
      </w:r>
      <w:r>
        <w:rPr>
          <w:rFonts w:hint="eastAsia" w:ascii="黑体" w:hAnsi="黑体" w:eastAsia="黑体" w:cs="黑体"/>
          <w:b w:val="0"/>
          <w:bCs/>
        </w:rPr>
        <w:fldChar w:fldCharType="separate"/>
      </w:r>
      <w:r>
        <w:rPr>
          <w:rFonts w:hint="eastAsia" w:ascii="黑体" w:hAnsi="黑体" w:eastAsia="黑体" w:cs="黑体"/>
          <w:b w:val="0"/>
          <w:bCs/>
          <w:szCs w:val="28"/>
        </w:rPr>
        <w:t>十</w:t>
      </w:r>
      <w:r>
        <w:rPr>
          <w:rFonts w:hint="eastAsia" w:ascii="黑体" w:hAnsi="黑体" w:eastAsia="黑体" w:cs="黑体"/>
          <w:b w:val="0"/>
          <w:bCs/>
          <w:szCs w:val="28"/>
          <w:lang w:val="en-US" w:eastAsia="zh-CN"/>
        </w:rPr>
        <w:t>四</w:t>
      </w:r>
      <w:r>
        <w:rPr>
          <w:rFonts w:hint="eastAsia" w:ascii="黑体" w:hAnsi="黑体" w:eastAsia="黑体" w:cs="黑体"/>
          <w:b w:val="0"/>
          <w:bCs/>
          <w:szCs w:val="28"/>
        </w:rPr>
        <w:t>、违约责任</w:t>
      </w:r>
      <w:r>
        <w:rPr>
          <w:rFonts w:hint="eastAsia" w:ascii="黑体" w:hAnsi="黑体" w:eastAsia="黑体" w:cs="黑体"/>
          <w:b w:val="0"/>
          <w:bCs/>
        </w:rPr>
        <w:tab/>
      </w:r>
      <w:r>
        <w:rPr>
          <w:rFonts w:hint="eastAsia" w:ascii="黑体" w:hAnsi="黑体" w:eastAsia="黑体" w:cs="黑体"/>
          <w:b w:val="0"/>
          <w:bCs/>
        </w:rPr>
        <w:fldChar w:fldCharType="begin"/>
      </w:r>
      <w:r>
        <w:rPr>
          <w:rFonts w:hint="eastAsia" w:ascii="黑体" w:hAnsi="黑体" w:eastAsia="黑体" w:cs="黑体"/>
          <w:b w:val="0"/>
          <w:bCs/>
        </w:rPr>
        <w:instrText xml:space="preserve"> PAGEREF _Toc7166 \h </w:instrText>
      </w:r>
      <w:r>
        <w:rPr>
          <w:rFonts w:hint="eastAsia" w:ascii="黑体" w:hAnsi="黑体" w:eastAsia="黑体" w:cs="黑体"/>
          <w:b w:val="0"/>
          <w:bCs/>
        </w:rPr>
        <w:fldChar w:fldCharType="separate"/>
      </w:r>
      <w:r>
        <w:rPr>
          <w:rFonts w:hint="eastAsia" w:ascii="黑体" w:hAnsi="黑体" w:eastAsia="黑体" w:cs="黑体"/>
          <w:b w:val="0"/>
          <w:bCs/>
        </w:rPr>
        <w:t>- 109 -</w:t>
      </w:r>
      <w:r>
        <w:rPr>
          <w:rFonts w:hint="eastAsia" w:ascii="黑体" w:hAnsi="黑体" w:eastAsia="黑体" w:cs="黑体"/>
          <w:b w:val="0"/>
          <w:bCs/>
        </w:rPr>
        <w:fldChar w:fldCharType="end"/>
      </w:r>
      <w:r>
        <w:rPr>
          <w:rFonts w:hint="eastAsia" w:ascii="黑体" w:hAnsi="黑体" w:eastAsia="黑体" w:cs="黑体"/>
          <w:b w:val="0"/>
          <w:bCs/>
        </w:rPr>
        <w:fldChar w:fldCharType="end"/>
      </w:r>
    </w:p>
    <w:p>
      <w:pPr>
        <w:pStyle w:val="21"/>
        <w:tabs>
          <w:tab w:val="right" w:leader="dot" w:pos="9354"/>
        </w:tabs>
        <w:rPr>
          <w:rFonts w:hint="eastAsia" w:ascii="黑体" w:hAnsi="黑体" w:eastAsia="黑体" w:cs="黑体"/>
          <w:b w:val="0"/>
          <w:bCs/>
        </w:rPr>
      </w:pPr>
      <w:r>
        <w:rPr>
          <w:rFonts w:hint="eastAsia" w:ascii="黑体" w:hAnsi="黑体" w:eastAsia="黑体" w:cs="黑体"/>
          <w:b w:val="0"/>
          <w:bCs/>
        </w:rPr>
        <w:fldChar w:fldCharType="begin"/>
      </w:r>
      <w:r>
        <w:rPr>
          <w:rFonts w:hint="eastAsia" w:ascii="黑体" w:hAnsi="黑体" w:eastAsia="黑体" w:cs="黑体"/>
          <w:b w:val="0"/>
          <w:bCs/>
        </w:rPr>
        <w:instrText xml:space="preserve"> HYPERLINK \l _Toc15765 </w:instrText>
      </w:r>
      <w:r>
        <w:rPr>
          <w:rFonts w:hint="eastAsia" w:ascii="黑体" w:hAnsi="黑体" w:eastAsia="黑体" w:cs="黑体"/>
          <w:b w:val="0"/>
          <w:bCs/>
        </w:rPr>
        <w:fldChar w:fldCharType="separate"/>
      </w:r>
      <w:r>
        <w:rPr>
          <w:rFonts w:hint="eastAsia" w:ascii="黑体" w:hAnsi="黑体" w:eastAsia="黑体" w:cs="黑体"/>
          <w:b w:val="0"/>
          <w:bCs/>
          <w:szCs w:val="28"/>
        </w:rPr>
        <w:t>十</w:t>
      </w:r>
      <w:r>
        <w:rPr>
          <w:rFonts w:hint="eastAsia" w:ascii="黑体" w:hAnsi="黑体" w:eastAsia="黑体" w:cs="黑体"/>
          <w:b w:val="0"/>
          <w:bCs/>
          <w:szCs w:val="28"/>
          <w:lang w:val="en-US" w:eastAsia="zh-CN"/>
        </w:rPr>
        <w:t>五</w:t>
      </w:r>
      <w:r>
        <w:rPr>
          <w:rFonts w:hint="eastAsia" w:ascii="黑体" w:hAnsi="黑体" w:eastAsia="黑体" w:cs="黑体"/>
          <w:b w:val="0"/>
          <w:bCs/>
          <w:szCs w:val="28"/>
        </w:rPr>
        <w:t>、争议解决方式</w:t>
      </w:r>
      <w:r>
        <w:rPr>
          <w:rFonts w:hint="eastAsia" w:ascii="黑体" w:hAnsi="黑体" w:eastAsia="黑体" w:cs="黑体"/>
          <w:b w:val="0"/>
          <w:bCs/>
        </w:rPr>
        <w:tab/>
      </w:r>
      <w:r>
        <w:rPr>
          <w:rFonts w:hint="eastAsia" w:ascii="黑体" w:hAnsi="黑体" w:eastAsia="黑体" w:cs="黑体"/>
          <w:b w:val="0"/>
          <w:bCs/>
        </w:rPr>
        <w:fldChar w:fldCharType="begin"/>
      </w:r>
      <w:r>
        <w:rPr>
          <w:rFonts w:hint="eastAsia" w:ascii="黑体" w:hAnsi="黑体" w:eastAsia="黑体" w:cs="黑体"/>
          <w:b w:val="0"/>
          <w:bCs/>
        </w:rPr>
        <w:instrText xml:space="preserve"> PAGEREF _Toc15765 \h </w:instrText>
      </w:r>
      <w:r>
        <w:rPr>
          <w:rFonts w:hint="eastAsia" w:ascii="黑体" w:hAnsi="黑体" w:eastAsia="黑体" w:cs="黑体"/>
          <w:b w:val="0"/>
          <w:bCs/>
        </w:rPr>
        <w:fldChar w:fldCharType="separate"/>
      </w:r>
      <w:r>
        <w:rPr>
          <w:rFonts w:hint="eastAsia" w:ascii="黑体" w:hAnsi="黑体" w:eastAsia="黑体" w:cs="黑体"/>
          <w:b w:val="0"/>
          <w:bCs/>
        </w:rPr>
        <w:t>- 109 -</w:t>
      </w:r>
      <w:r>
        <w:rPr>
          <w:rFonts w:hint="eastAsia" w:ascii="黑体" w:hAnsi="黑体" w:eastAsia="黑体" w:cs="黑体"/>
          <w:b w:val="0"/>
          <w:bCs/>
        </w:rPr>
        <w:fldChar w:fldCharType="end"/>
      </w:r>
      <w:r>
        <w:rPr>
          <w:rFonts w:hint="eastAsia" w:ascii="黑体" w:hAnsi="黑体" w:eastAsia="黑体" w:cs="黑体"/>
          <w:b w:val="0"/>
          <w:bCs/>
        </w:rPr>
        <w:fldChar w:fldCharType="end"/>
      </w:r>
    </w:p>
    <w:p>
      <w:pPr>
        <w:pStyle w:val="21"/>
        <w:tabs>
          <w:tab w:val="right" w:leader="dot" w:pos="9354"/>
        </w:tabs>
        <w:rPr>
          <w:rFonts w:hint="eastAsia" w:ascii="黑体" w:hAnsi="黑体" w:eastAsia="黑体" w:cs="黑体"/>
          <w:b w:val="0"/>
          <w:bCs/>
        </w:rPr>
      </w:pPr>
      <w:r>
        <w:rPr>
          <w:rFonts w:hint="eastAsia" w:ascii="黑体" w:hAnsi="黑体" w:eastAsia="黑体" w:cs="黑体"/>
          <w:b w:val="0"/>
          <w:bCs/>
        </w:rPr>
        <w:fldChar w:fldCharType="begin"/>
      </w:r>
      <w:r>
        <w:rPr>
          <w:rFonts w:hint="eastAsia" w:ascii="黑体" w:hAnsi="黑体" w:eastAsia="黑体" w:cs="黑体"/>
          <w:b w:val="0"/>
          <w:bCs/>
        </w:rPr>
        <w:instrText xml:space="preserve"> HYPERLINK \l _Toc15610 </w:instrText>
      </w:r>
      <w:r>
        <w:rPr>
          <w:rFonts w:hint="eastAsia" w:ascii="黑体" w:hAnsi="黑体" w:eastAsia="黑体" w:cs="黑体"/>
          <w:b w:val="0"/>
          <w:bCs/>
        </w:rPr>
        <w:fldChar w:fldCharType="separate"/>
      </w:r>
      <w:r>
        <w:rPr>
          <w:rFonts w:hint="eastAsia" w:ascii="黑体" w:hAnsi="黑体" w:eastAsia="黑体" w:cs="黑体"/>
          <w:b w:val="0"/>
          <w:bCs/>
          <w:szCs w:val="28"/>
        </w:rPr>
        <w:t>十</w:t>
      </w:r>
      <w:r>
        <w:rPr>
          <w:rFonts w:hint="eastAsia" w:ascii="黑体" w:hAnsi="黑体" w:eastAsia="黑体" w:cs="黑体"/>
          <w:b w:val="0"/>
          <w:bCs/>
          <w:szCs w:val="28"/>
          <w:lang w:val="en-US" w:eastAsia="zh-CN"/>
        </w:rPr>
        <w:t>六</w:t>
      </w:r>
      <w:r>
        <w:rPr>
          <w:rFonts w:hint="eastAsia" w:ascii="黑体" w:hAnsi="黑体" w:eastAsia="黑体" w:cs="黑体"/>
          <w:b w:val="0"/>
          <w:bCs/>
          <w:szCs w:val="28"/>
        </w:rPr>
        <w:t>、其他约定事项</w:t>
      </w:r>
      <w:r>
        <w:rPr>
          <w:rFonts w:hint="eastAsia" w:ascii="黑体" w:hAnsi="黑体" w:eastAsia="黑体" w:cs="黑体"/>
          <w:b w:val="0"/>
          <w:bCs/>
        </w:rPr>
        <w:tab/>
      </w:r>
      <w:r>
        <w:rPr>
          <w:rFonts w:hint="eastAsia" w:ascii="黑体" w:hAnsi="黑体" w:eastAsia="黑体" w:cs="黑体"/>
          <w:b w:val="0"/>
          <w:bCs/>
        </w:rPr>
        <w:fldChar w:fldCharType="begin"/>
      </w:r>
      <w:r>
        <w:rPr>
          <w:rFonts w:hint="eastAsia" w:ascii="黑体" w:hAnsi="黑体" w:eastAsia="黑体" w:cs="黑体"/>
          <w:b w:val="0"/>
          <w:bCs/>
        </w:rPr>
        <w:instrText xml:space="preserve"> PAGEREF _Toc15610 \h </w:instrText>
      </w:r>
      <w:r>
        <w:rPr>
          <w:rFonts w:hint="eastAsia" w:ascii="黑体" w:hAnsi="黑体" w:eastAsia="黑体" w:cs="黑体"/>
          <w:b w:val="0"/>
          <w:bCs/>
        </w:rPr>
        <w:fldChar w:fldCharType="separate"/>
      </w:r>
      <w:r>
        <w:rPr>
          <w:rFonts w:hint="eastAsia" w:ascii="黑体" w:hAnsi="黑体" w:eastAsia="黑体" w:cs="黑体"/>
          <w:b w:val="0"/>
          <w:bCs/>
        </w:rPr>
        <w:t>- 110 -</w:t>
      </w:r>
      <w:r>
        <w:rPr>
          <w:rFonts w:hint="eastAsia" w:ascii="黑体" w:hAnsi="黑体" w:eastAsia="黑体" w:cs="黑体"/>
          <w:b w:val="0"/>
          <w:bCs/>
        </w:rPr>
        <w:fldChar w:fldCharType="end"/>
      </w:r>
      <w:r>
        <w:rPr>
          <w:rFonts w:hint="eastAsia" w:ascii="黑体" w:hAnsi="黑体" w:eastAsia="黑体" w:cs="黑体"/>
          <w:b w:val="0"/>
          <w:bCs/>
        </w:rPr>
        <w:fldChar w:fldCharType="end"/>
      </w:r>
    </w:p>
    <w:p>
      <w:pPr>
        <w:pStyle w:val="21"/>
        <w:tabs>
          <w:tab w:val="right" w:leader="dot" w:pos="9354"/>
        </w:tabs>
        <w:rPr>
          <w:rFonts w:hint="eastAsia" w:ascii="黑体" w:hAnsi="黑体" w:eastAsia="黑体" w:cs="黑体"/>
          <w:b w:val="0"/>
          <w:bCs/>
        </w:rPr>
      </w:pPr>
      <w:r>
        <w:rPr>
          <w:rFonts w:hint="eastAsia" w:ascii="黑体" w:hAnsi="黑体" w:eastAsia="黑体" w:cs="黑体"/>
          <w:b w:val="0"/>
          <w:bCs/>
        </w:rPr>
        <w:fldChar w:fldCharType="begin"/>
      </w:r>
      <w:r>
        <w:rPr>
          <w:rFonts w:hint="eastAsia" w:ascii="黑体" w:hAnsi="黑体" w:eastAsia="黑体" w:cs="黑体"/>
          <w:b w:val="0"/>
          <w:bCs/>
        </w:rPr>
        <w:instrText xml:space="preserve"> HYPERLINK \l _Toc20229 </w:instrText>
      </w:r>
      <w:r>
        <w:rPr>
          <w:rFonts w:hint="eastAsia" w:ascii="黑体" w:hAnsi="黑体" w:eastAsia="黑体" w:cs="黑体"/>
          <w:b w:val="0"/>
          <w:bCs/>
        </w:rPr>
        <w:fldChar w:fldCharType="separate"/>
      </w:r>
      <w:r>
        <w:rPr>
          <w:rFonts w:hint="eastAsia" w:ascii="黑体" w:hAnsi="黑体" w:eastAsia="黑体" w:cs="黑体"/>
          <w:b w:val="0"/>
          <w:bCs/>
          <w:szCs w:val="28"/>
        </w:rPr>
        <w:t>十</w:t>
      </w:r>
      <w:r>
        <w:rPr>
          <w:rFonts w:hint="eastAsia" w:ascii="黑体" w:hAnsi="黑体" w:eastAsia="黑体" w:cs="黑体"/>
          <w:b w:val="0"/>
          <w:bCs/>
          <w:szCs w:val="28"/>
          <w:lang w:val="en-US" w:eastAsia="zh-CN"/>
        </w:rPr>
        <w:t>七</w:t>
      </w:r>
      <w:r>
        <w:rPr>
          <w:rFonts w:hint="eastAsia" w:ascii="黑体" w:hAnsi="黑体" w:eastAsia="黑体" w:cs="黑体"/>
          <w:b w:val="0"/>
          <w:bCs/>
          <w:szCs w:val="28"/>
        </w:rPr>
        <w:t>、合同生效</w:t>
      </w:r>
      <w:r>
        <w:rPr>
          <w:rFonts w:hint="eastAsia" w:ascii="黑体" w:hAnsi="黑体" w:eastAsia="黑体" w:cs="黑体"/>
          <w:b w:val="0"/>
          <w:bCs/>
        </w:rPr>
        <w:tab/>
      </w:r>
      <w:r>
        <w:rPr>
          <w:rFonts w:hint="eastAsia" w:ascii="黑体" w:hAnsi="黑体" w:eastAsia="黑体" w:cs="黑体"/>
          <w:b w:val="0"/>
          <w:bCs/>
        </w:rPr>
        <w:fldChar w:fldCharType="begin"/>
      </w:r>
      <w:r>
        <w:rPr>
          <w:rFonts w:hint="eastAsia" w:ascii="黑体" w:hAnsi="黑体" w:eastAsia="黑体" w:cs="黑体"/>
          <w:b w:val="0"/>
          <w:bCs/>
        </w:rPr>
        <w:instrText xml:space="preserve"> PAGEREF _Toc20229 \h </w:instrText>
      </w:r>
      <w:r>
        <w:rPr>
          <w:rFonts w:hint="eastAsia" w:ascii="黑体" w:hAnsi="黑体" w:eastAsia="黑体" w:cs="黑体"/>
          <w:b w:val="0"/>
          <w:bCs/>
        </w:rPr>
        <w:fldChar w:fldCharType="separate"/>
      </w:r>
      <w:r>
        <w:rPr>
          <w:rFonts w:hint="eastAsia" w:ascii="黑体" w:hAnsi="黑体" w:eastAsia="黑体" w:cs="黑体"/>
          <w:b w:val="0"/>
          <w:bCs/>
        </w:rPr>
        <w:t>- 111 -</w:t>
      </w:r>
      <w:r>
        <w:rPr>
          <w:rFonts w:hint="eastAsia" w:ascii="黑体" w:hAnsi="黑体" w:eastAsia="黑体" w:cs="黑体"/>
          <w:b w:val="0"/>
          <w:bCs/>
        </w:rPr>
        <w:fldChar w:fldCharType="end"/>
      </w:r>
      <w:r>
        <w:rPr>
          <w:rFonts w:hint="eastAsia" w:ascii="黑体" w:hAnsi="黑体" w:eastAsia="黑体" w:cs="黑体"/>
          <w:b w:val="0"/>
          <w:bCs/>
        </w:rPr>
        <w:fldChar w:fldCharType="end"/>
      </w:r>
    </w:p>
    <w:p>
      <w:pPr>
        <w:pStyle w:val="21"/>
        <w:tabs>
          <w:tab w:val="right" w:leader="dot" w:pos="9354"/>
        </w:tabs>
        <w:rPr>
          <w:rFonts w:hint="eastAsia" w:ascii="黑体" w:hAnsi="黑体" w:eastAsia="黑体" w:cs="黑体"/>
          <w:b w:val="0"/>
          <w:bCs/>
        </w:rPr>
      </w:pPr>
      <w:r>
        <w:rPr>
          <w:rFonts w:hint="eastAsia" w:ascii="黑体" w:hAnsi="黑体" w:eastAsia="黑体" w:cs="黑体"/>
          <w:b w:val="0"/>
          <w:bCs/>
        </w:rPr>
        <w:fldChar w:fldCharType="begin"/>
      </w:r>
      <w:r>
        <w:rPr>
          <w:rFonts w:hint="eastAsia" w:ascii="黑体" w:hAnsi="黑体" w:eastAsia="黑体" w:cs="黑体"/>
          <w:b w:val="0"/>
          <w:bCs/>
        </w:rPr>
        <w:instrText xml:space="preserve"> HYPERLINK \l _Toc29222 </w:instrText>
      </w:r>
      <w:r>
        <w:rPr>
          <w:rFonts w:hint="eastAsia" w:ascii="黑体" w:hAnsi="黑体" w:eastAsia="黑体" w:cs="黑体"/>
          <w:b w:val="0"/>
          <w:bCs/>
        </w:rPr>
        <w:fldChar w:fldCharType="separate"/>
      </w:r>
      <w:r>
        <w:rPr>
          <w:rFonts w:hint="eastAsia" w:ascii="黑体" w:hAnsi="黑体" w:eastAsia="黑体" w:cs="黑体"/>
          <w:b w:val="0"/>
          <w:bCs/>
          <w:szCs w:val="28"/>
        </w:rPr>
        <w:t>十</w:t>
      </w:r>
      <w:r>
        <w:rPr>
          <w:rFonts w:hint="eastAsia" w:ascii="黑体" w:hAnsi="黑体" w:eastAsia="黑体" w:cs="黑体"/>
          <w:b w:val="0"/>
          <w:bCs/>
          <w:szCs w:val="28"/>
          <w:lang w:val="en-US" w:eastAsia="zh-CN"/>
        </w:rPr>
        <w:t>八</w:t>
      </w:r>
      <w:r>
        <w:rPr>
          <w:rFonts w:hint="eastAsia" w:ascii="黑体" w:hAnsi="黑体" w:eastAsia="黑体" w:cs="黑体"/>
          <w:b w:val="0"/>
          <w:bCs/>
          <w:szCs w:val="28"/>
        </w:rPr>
        <w:t>、合同附件</w:t>
      </w:r>
      <w:r>
        <w:rPr>
          <w:rFonts w:hint="eastAsia" w:ascii="黑体" w:hAnsi="黑体" w:eastAsia="黑体" w:cs="黑体"/>
          <w:b w:val="0"/>
          <w:bCs/>
        </w:rPr>
        <w:tab/>
      </w:r>
      <w:r>
        <w:rPr>
          <w:rFonts w:hint="eastAsia" w:ascii="黑体" w:hAnsi="黑体" w:eastAsia="黑体" w:cs="黑体"/>
          <w:b w:val="0"/>
          <w:bCs/>
        </w:rPr>
        <w:fldChar w:fldCharType="begin"/>
      </w:r>
      <w:r>
        <w:rPr>
          <w:rFonts w:hint="eastAsia" w:ascii="黑体" w:hAnsi="黑体" w:eastAsia="黑体" w:cs="黑体"/>
          <w:b w:val="0"/>
          <w:bCs/>
        </w:rPr>
        <w:instrText xml:space="preserve"> PAGEREF _Toc29222 \h </w:instrText>
      </w:r>
      <w:r>
        <w:rPr>
          <w:rFonts w:hint="eastAsia" w:ascii="黑体" w:hAnsi="黑体" w:eastAsia="黑体" w:cs="黑体"/>
          <w:b w:val="0"/>
          <w:bCs/>
        </w:rPr>
        <w:fldChar w:fldCharType="separate"/>
      </w:r>
      <w:r>
        <w:rPr>
          <w:rFonts w:hint="eastAsia" w:ascii="黑体" w:hAnsi="黑体" w:eastAsia="黑体" w:cs="黑体"/>
          <w:b w:val="0"/>
          <w:bCs/>
        </w:rPr>
        <w:t>- 111 -</w:t>
      </w:r>
      <w:r>
        <w:rPr>
          <w:rFonts w:hint="eastAsia" w:ascii="黑体" w:hAnsi="黑体" w:eastAsia="黑体" w:cs="黑体"/>
          <w:b w:val="0"/>
          <w:bCs/>
        </w:rPr>
        <w:fldChar w:fldCharType="end"/>
      </w:r>
      <w:r>
        <w:rPr>
          <w:rFonts w:hint="eastAsia" w:ascii="黑体" w:hAnsi="黑体" w:eastAsia="黑体" w:cs="黑体"/>
          <w:b w:val="0"/>
          <w:bCs/>
        </w:rPr>
        <w:fldChar w:fldCharType="end"/>
      </w:r>
    </w:p>
    <w:p>
      <w:pPr>
        <w:pStyle w:val="35"/>
        <w:tabs>
          <w:tab w:val="right" w:leader="dot" w:pos="9354"/>
        </w:tabs>
        <w:rPr>
          <w:rFonts w:hint="eastAsia" w:ascii="黑体" w:hAnsi="黑体" w:eastAsia="黑体" w:cs="黑体"/>
          <w:b w:val="0"/>
          <w:bCs/>
        </w:rPr>
      </w:pPr>
      <w:r>
        <w:rPr>
          <w:rFonts w:hint="eastAsia" w:ascii="黑体" w:hAnsi="黑体" w:eastAsia="黑体" w:cs="黑体"/>
          <w:b w:val="0"/>
          <w:bCs/>
        </w:rPr>
        <w:fldChar w:fldCharType="begin"/>
      </w:r>
      <w:r>
        <w:rPr>
          <w:rFonts w:hint="eastAsia" w:ascii="黑体" w:hAnsi="黑体" w:eastAsia="黑体" w:cs="黑体"/>
          <w:b w:val="0"/>
          <w:bCs/>
        </w:rPr>
        <w:instrText xml:space="preserve"> HYPERLINK \l _Toc7976 </w:instrText>
      </w:r>
      <w:r>
        <w:rPr>
          <w:rFonts w:hint="eastAsia" w:ascii="黑体" w:hAnsi="黑体" w:eastAsia="黑体" w:cs="黑体"/>
          <w:b w:val="0"/>
          <w:bCs/>
        </w:rPr>
        <w:fldChar w:fldCharType="separate"/>
      </w:r>
      <w:r>
        <w:rPr>
          <w:rFonts w:hint="eastAsia" w:ascii="黑体" w:hAnsi="黑体" w:eastAsia="黑体" w:cs="黑体"/>
          <w:b w:val="0"/>
          <w:bCs/>
          <w:kern w:val="2"/>
          <w:szCs w:val="44"/>
          <w:lang w:val="zh-CN" w:eastAsia="zh-CN" w:bidi="ar-SA"/>
        </w:rPr>
        <w:t xml:space="preserve">第七章 </w:t>
      </w:r>
      <w:r>
        <w:rPr>
          <w:rFonts w:hint="eastAsia" w:ascii="黑体" w:hAnsi="黑体" w:eastAsia="黑体" w:cs="黑体"/>
          <w:b w:val="0"/>
          <w:bCs/>
          <w:kern w:val="2"/>
          <w:szCs w:val="44"/>
          <w:lang w:val="en-US" w:eastAsia="zh-CN" w:bidi="ar-SA"/>
        </w:rPr>
        <w:t>商务技术文件</w:t>
      </w:r>
      <w:r>
        <w:rPr>
          <w:rFonts w:hint="eastAsia" w:ascii="黑体" w:hAnsi="黑体" w:eastAsia="黑体" w:cs="黑体"/>
          <w:b w:val="0"/>
          <w:bCs/>
        </w:rPr>
        <w:tab/>
      </w:r>
      <w:r>
        <w:rPr>
          <w:rFonts w:hint="eastAsia" w:ascii="黑体" w:hAnsi="黑体" w:eastAsia="黑体" w:cs="黑体"/>
          <w:b w:val="0"/>
          <w:bCs/>
        </w:rPr>
        <w:fldChar w:fldCharType="begin"/>
      </w:r>
      <w:r>
        <w:rPr>
          <w:rFonts w:hint="eastAsia" w:ascii="黑体" w:hAnsi="黑体" w:eastAsia="黑体" w:cs="黑体"/>
          <w:b w:val="0"/>
          <w:bCs/>
        </w:rPr>
        <w:instrText xml:space="preserve"> PAGEREF _Toc7976 \h </w:instrText>
      </w:r>
      <w:r>
        <w:rPr>
          <w:rFonts w:hint="eastAsia" w:ascii="黑体" w:hAnsi="黑体" w:eastAsia="黑体" w:cs="黑体"/>
          <w:b w:val="0"/>
          <w:bCs/>
        </w:rPr>
        <w:fldChar w:fldCharType="separate"/>
      </w:r>
      <w:r>
        <w:rPr>
          <w:rFonts w:hint="eastAsia" w:ascii="黑体" w:hAnsi="黑体" w:eastAsia="黑体" w:cs="黑体"/>
          <w:b w:val="0"/>
          <w:bCs/>
        </w:rPr>
        <w:t>- 112 -</w:t>
      </w:r>
      <w:r>
        <w:rPr>
          <w:rFonts w:hint="eastAsia" w:ascii="黑体" w:hAnsi="黑体" w:eastAsia="黑体" w:cs="黑体"/>
          <w:b w:val="0"/>
          <w:bCs/>
        </w:rPr>
        <w:fldChar w:fldCharType="end"/>
      </w:r>
      <w:r>
        <w:rPr>
          <w:rFonts w:hint="eastAsia" w:ascii="黑体" w:hAnsi="黑体" w:eastAsia="黑体" w:cs="黑体"/>
          <w:b w:val="0"/>
          <w:bCs/>
        </w:rPr>
        <w:fldChar w:fldCharType="end"/>
      </w:r>
    </w:p>
    <w:p>
      <w:pPr>
        <w:pStyle w:val="21"/>
        <w:tabs>
          <w:tab w:val="right" w:leader="dot" w:pos="9354"/>
        </w:tabs>
        <w:rPr>
          <w:rFonts w:hint="eastAsia" w:ascii="黑体" w:hAnsi="黑体" w:eastAsia="黑体" w:cs="黑体"/>
          <w:b w:val="0"/>
          <w:bCs/>
        </w:rPr>
      </w:pPr>
      <w:r>
        <w:rPr>
          <w:rFonts w:hint="eastAsia" w:ascii="黑体" w:hAnsi="黑体" w:eastAsia="黑体" w:cs="黑体"/>
          <w:b w:val="0"/>
          <w:bCs/>
        </w:rPr>
        <w:fldChar w:fldCharType="begin"/>
      </w:r>
      <w:r>
        <w:rPr>
          <w:rFonts w:hint="eastAsia" w:ascii="黑体" w:hAnsi="黑体" w:eastAsia="黑体" w:cs="黑体"/>
          <w:b w:val="0"/>
          <w:bCs/>
        </w:rPr>
        <w:instrText xml:space="preserve"> HYPERLINK \l _Toc11868 </w:instrText>
      </w:r>
      <w:r>
        <w:rPr>
          <w:rFonts w:hint="eastAsia" w:ascii="黑体" w:hAnsi="黑体" w:eastAsia="黑体" w:cs="黑体"/>
          <w:b w:val="0"/>
          <w:bCs/>
        </w:rPr>
        <w:fldChar w:fldCharType="separate"/>
      </w:r>
      <w:r>
        <w:rPr>
          <w:rFonts w:hint="eastAsia" w:ascii="黑体" w:hAnsi="黑体" w:eastAsia="黑体" w:cs="黑体"/>
          <w:b w:val="0"/>
          <w:bCs/>
          <w:szCs w:val="28"/>
        </w:rPr>
        <w:t>附表1 资格性审查表</w:t>
      </w:r>
      <w:r>
        <w:rPr>
          <w:rFonts w:hint="eastAsia" w:ascii="黑体" w:hAnsi="黑体" w:eastAsia="黑体" w:cs="黑体"/>
          <w:b w:val="0"/>
          <w:bCs/>
        </w:rPr>
        <w:tab/>
      </w:r>
      <w:r>
        <w:rPr>
          <w:rFonts w:hint="eastAsia" w:ascii="黑体" w:hAnsi="黑体" w:eastAsia="黑体" w:cs="黑体"/>
          <w:b w:val="0"/>
          <w:bCs/>
        </w:rPr>
        <w:fldChar w:fldCharType="begin"/>
      </w:r>
      <w:r>
        <w:rPr>
          <w:rFonts w:hint="eastAsia" w:ascii="黑体" w:hAnsi="黑体" w:eastAsia="黑体" w:cs="黑体"/>
          <w:b w:val="0"/>
          <w:bCs/>
        </w:rPr>
        <w:instrText xml:space="preserve"> PAGEREF _Toc11868 \h </w:instrText>
      </w:r>
      <w:r>
        <w:rPr>
          <w:rFonts w:hint="eastAsia" w:ascii="黑体" w:hAnsi="黑体" w:eastAsia="黑体" w:cs="黑体"/>
          <w:b w:val="0"/>
          <w:bCs/>
        </w:rPr>
        <w:fldChar w:fldCharType="separate"/>
      </w:r>
      <w:r>
        <w:rPr>
          <w:rFonts w:hint="eastAsia" w:ascii="黑体" w:hAnsi="黑体" w:eastAsia="黑体" w:cs="黑体"/>
          <w:b w:val="0"/>
          <w:bCs/>
        </w:rPr>
        <w:t>- 112 -</w:t>
      </w:r>
      <w:r>
        <w:rPr>
          <w:rFonts w:hint="eastAsia" w:ascii="黑体" w:hAnsi="黑体" w:eastAsia="黑体" w:cs="黑体"/>
          <w:b w:val="0"/>
          <w:bCs/>
        </w:rPr>
        <w:fldChar w:fldCharType="end"/>
      </w:r>
      <w:r>
        <w:rPr>
          <w:rFonts w:hint="eastAsia" w:ascii="黑体" w:hAnsi="黑体" w:eastAsia="黑体" w:cs="黑体"/>
          <w:b w:val="0"/>
          <w:bCs/>
        </w:rPr>
        <w:fldChar w:fldCharType="end"/>
      </w:r>
    </w:p>
    <w:p>
      <w:pPr>
        <w:pStyle w:val="21"/>
        <w:tabs>
          <w:tab w:val="right" w:leader="dot" w:pos="9354"/>
        </w:tabs>
        <w:rPr>
          <w:rFonts w:hint="eastAsia" w:ascii="黑体" w:hAnsi="黑体" w:eastAsia="黑体" w:cs="黑体"/>
          <w:b w:val="0"/>
          <w:bCs/>
        </w:rPr>
      </w:pPr>
      <w:r>
        <w:rPr>
          <w:rFonts w:hint="eastAsia" w:ascii="黑体" w:hAnsi="黑体" w:eastAsia="黑体" w:cs="黑体"/>
          <w:b w:val="0"/>
          <w:bCs/>
        </w:rPr>
        <w:fldChar w:fldCharType="begin"/>
      </w:r>
      <w:r>
        <w:rPr>
          <w:rFonts w:hint="eastAsia" w:ascii="黑体" w:hAnsi="黑体" w:eastAsia="黑体" w:cs="黑体"/>
          <w:b w:val="0"/>
          <w:bCs/>
        </w:rPr>
        <w:instrText xml:space="preserve"> HYPERLINK \l _Toc29127 </w:instrText>
      </w:r>
      <w:r>
        <w:rPr>
          <w:rFonts w:hint="eastAsia" w:ascii="黑体" w:hAnsi="黑体" w:eastAsia="黑体" w:cs="黑体"/>
          <w:b w:val="0"/>
          <w:bCs/>
        </w:rPr>
        <w:fldChar w:fldCharType="separate"/>
      </w:r>
      <w:r>
        <w:rPr>
          <w:rFonts w:hint="eastAsia" w:ascii="黑体" w:hAnsi="黑体" w:eastAsia="黑体" w:cs="黑体"/>
          <w:b w:val="0"/>
          <w:bCs/>
          <w:szCs w:val="28"/>
        </w:rPr>
        <w:t>附表2 符合性审查表</w:t>
      </w:r>
      <w:r>
        <w:rPr>
          <w:rFonts w:hint="eastAsia" w:ascii="黑体" w:hAnsi="黑体" w:eastAsia="黑体" w:cs="黑体"/>
          <w:b w:val="0"/>
          <w:bCs/>
        </w:rPr>
        <w:tab/>
      </w:r>
      <w:r>
        <w:rPr>
          <w:rFonts w:hint="eastAsia" w:ascii="黑体" w:hAnsi="黑体" w:eastAsia="黑体" w:cs="黑体"/>
          <w:b w:val="0"/>
          <w:bCs/>
        </w:rPr>
        <w:fldChar w:fldCharType="begin"/>
      </w:r>
      <w:r>
        <w:rPr>
          <w:rFonts w:hint="eastAsia" w:ascii="黑体" w:hAnsi="黑体" w:eastAsia="黑体" w:cs="黑体"/>
          <w:b w:val="0"/>
          <w:bCs/>
        </w:rPr>
        <w:instrText xml:space="preserve"> PAGEREF _Toc29127 \h </w:instrText>
      </w:r>
      <w:r>
        <w:rPr>
          <w:rFonts w:hint="eastAsia" w:ascii="黑体" w:hAnsi="黑体" w:eastAsia="黑体" w:cs="黑体"/>
          <w:b w:val="0"/>
          <w:bCs/>
        </w:rPr>
        <w:fldChar w:fldCharType="separate"/>
      </w:r>
      <w:r>
        <w:rPr>
          <w:rFonts w:hint="eastAsia" w:ascii="黑体" w:hAnsi="黑体" w:eastAsia="黑体" w:cs="黑体"/>
          <w:b w:val="0"/>
          <w:bCs/>
        </w:rPr>
        <w:t>- 115 -</w:t>
      </w:r>
      <w:r>
        <w:rPr>
          <w:rFonts w:hint="eastAsia" w:ascii="黑体" w:hAnsi="黑体" w:eastAsia="黑体" w:cs="黑体"/>
          <w:b w:val="0"/>
          <w:bCs/>
        </w:rPr>
        <w:fldChar w:fldCharType="end"/>
      </w:r>
      <w:r>
        <w:rPr>
          <w:rFonts w:hint="eastAsia" w:ascii="黑体" w:hAnsi="黑体" w:eastAsia="黑体" w:cs="黑体"/>
          <w:b w:val="0"/>
          <w:bCs/>
        </w:rPr>
        <w:fldChar w:fldCharType="end"/>
      </w:r>
    </w:p>
    <w:p>
      <w:pPr>
        <w:pStyle w:val="21"/>
        <w:tabs>
          <w:tab w:val="right" w:leader="dot" w:pos="9354"/>
        </w:tabs>
        <w:rPr>
          <w:rFonts w:hint="eastAsia" w:ascii="黑体" w:hAnsi="黑体" w:eastAsia="黑体" w:cs="黑体"/>
          <w:b w:val="0"/>
          <w:bCs/>
        </w:rPr>
      </w:pPr>
      <w:r>
        <w:rPr>
          <w:rFonts w:hint="eastAsia" w:ascii="黑体" w:hAnsi="黑体" w:eastAsia="黑体" w:cs="黑体"/>
          <w:b w:val="0"/>
          <w:bCs/>
        </w:rPr>
        <w:fldChar w:fldCharType="begin"/>
      </w:r>
      <w:r>
        <w:rPr>
          <w:rFonts w:hint="eastAsia" w:ascii="黑体" w:hAnsi="黑体" w:eastAsia="黑体" w:cs="黑体"/>
          <w:b w:val="0"/>
          <w:bCs/>
        </w:rPr>
        <w:instrText xml:space="preserve"> HYPERLINK \l _Toc31080 </w:instrText>
      </w:r>
      <w:r>
        <w:rPr>
          <w:rFonts w:hint="eastAsia" w:ascii="黑体" w:hAnsi="黑体" w:eastAsia="黑体" w:cs="黑体"/>
          <w:b w:val="0"/>
          <w:bCs/>
        </w:rPr>
        <w:fldChar w:fldCharType="separate"/>
      </w:r>
      <w:r>
        <w:rPr>
          <w:rFonts w:hint="eastAsia" w:ascii="黑体" w:hAnsi="黑体" w:eastAsia="黑体" w:cs="黑体"/>
          <w:b w:val="0"/>
          <w:bCs/>
          <w:szCs w:val="28"/>
        </w:rPr>
        <w:t>附表3</w:t>
      </w:r>
      <w:r>
        <w:rPr>
          <w:rFonts w:hint="eastAsia" w:ascii="黑体" w:hAnsi="黑体" w:eastAsia="黑体" w:cs="黑体"/>
          <w:b w:val="0"/>
          <w:bCs/>
          <w:szCs w:val="28"/>
          <w:lang w:val="en-US" w:eastAsia="zh-CN"/>
        </w:rPr>
        <w:t xml:space="preserve"> 商务评审标准</w:t>
      </w:r>
      <w:r>
        <w:rPr>
          <w:rFonts w:hint="eastAsia" w:ascii="黑体" w:hAnsi="黑体" w:eastAsia="黑体" w:cs="黑体"/>
          <w:b w:val="0"/>
          <w:bCs/>
          <w:szCs w:val="28"/>
        </w:rPr>
        <w:t>表</w:t>
      </w:r>
      <w:r>
        <w:rPr>
          <w:rFonts w:hint="eastAsia" w:ascii="黑体" w:hAnsi="黑体" w:eastAsia="黑体" w:cs="黑体"/>
          <w:b w:val="0"/>
          <w:bCs/>
        </w:rPr>
        <w:tab/>
      </w:r>
      <w:r>
        <w:rPr>
          <w:rFonts w:hint="eastAsia" w:ascii="黑体" w:hAnsi="黑体" w:eastAsia="黑体" w:cs="黑体"/>
          <w:b w:val="0"/>
          <w:bCs/>
        </w:rPr>
        <w:fldChar w:fldCharType="begin"/>
      </w:r>
      <w:r>
        <w:rPr>
          <w:rFonts w:hint="eastAsia" w:ascii="黑体" w:hAnsi="黑体" w:eastAsia="黑体" w:cs="黑体"/>
          <w:b w:val="0"/>
          <w:bCs/>
        </w:rPr>
        <w:instrText xml:space="preserve"> PAGEREF _Toc31080 \h </w:instrText>
      </w:r>
      <w:r>
        <w:rPr>
          <w:rFonts w:hint="eastAsia" w:ascii="黑体" w:hAnsi="黑体" w:eastAsia="黑体" w:cs="黑体"/>
          <w:b w:val="0"/>
          <w:bCs/>
        </w:rPr>
        <w:fldChar w:fldCharType="separate"/>
      </w:r>
      <w:r>
        <w:rPr>
          <w:rFonts w:hint="eastAsia" w:ascii="黑体" w:hAnsi="黑体" w:eastAsia="黑体" w:cs="黑体"/>
          <w:b w:val="0"/>
          <w:bCs/>
        </w:rPr>
        <w:t>- 116 -</w:t>
      </w:r>
      <w:r>
        <w:rPr>
          <w:rFonts w:hint="eastAsia" w:ascii="黑体" w:hAnsi="黑体" w:eastAsia="黑体" w:cs="黑体"/>
          <w:b w:val="0"/>
          <w:bCs/>
        </w:rPr>
        <w:fldChar w:fldCharType="end"/>
      </w:r>
      <w:r>
        <w:rPr>
          <w:rFonts w:hint="eastAsia" w:ascii="黑体" w:hAnsi="黑体" w:eastAsia="黑体" w:cs="黑体"/>
          <w:b w:val="0"/>
          <w:bCs/>
        </w:rPr>
        <w:fldChar w:fldCharType="end"/>
      </w:r>
    </w:p>
    <w:p>
      <w:pPr>
        <w:pStyle w:val="21"/>
        <w:tabs>
          <w:tab w:val="right" w:leader="dot" w:pos="9354"/>
        </w:tabs>
        <w:rPr>
          <w:rFonts w:hint="eastAsia" w:ascii="黑体" w:hAnsi="黑体" w:eastAsia="黑体" w:cs="黑体"/>
          <w:b w:val="0"/>
          <w:bCs/>
        </w:rPr>
      </w:pPr>
      <w:r>
        <w:rPr>
          <w:rFonts w:hint="eastAsia" w:ascii="黑体" w:hAnsi="黑体" w:eastAsia="黑体" w:cs="黑体"/>
          <w:b w:val="0"/>
          <w:bCs/>
        </w:rPr>
        <w:fldChar w:fldCharType="begin"/>
      </w:r>
      <w:r>
        <w:rPr>
          <w:rFonts w:hint="eastAsia" w:ascii="黑体" w:hAnsi="黑体" w:eastAsia="黑体" w:cs="黑体"/>
          <w:b w:val="0"/>
          <w:bCs/>
        </w:rPr>
        <w:instrText xml:space="preserve"> HYPERLINK \l _Toc15885 </w:instrText>
      </w:r>
      <w:r>
        <w:rPr>
          <w:rFonts w:hint="eastAsia" w:ascii="黑体" w:hAnsi="黑体" w:eastAsia="黑体" w:cs="黑体"/>
          <w:b w:val="0"/>
          <w:bCs/>
        </w:rPr>
        <w:fldChar w:fldCharType="separate"/>
      </w:r>
      <w:r>
        <w:rPr>
          <w:rFonts w:hint="eastAsia" w:ascii="黑体" w:hAnsi="黑体" w:eastAsia="黑体" w:cs="黑体"/>
          <w:b w:val="0"/>
          <w:bCs/>
          <w:kern w:val="2"/>
          <w:szCs w:val="28"/>
          <w:lang w:val="en-US" w:eastAsia="zh-CN" w:bidi="ar-SA"/>
        </w:rPr>
        <w:t>附表4 技术评审标准表</w:t>
      </w:r>
      <w:r>
        <w:rPr>
          <w:rFonts w:hint="eastAsia" w:ascii="黑体" w:hAnsi="黑体" w:eastAsia="黑体" w:cs="黑体"/>
          <w:b w:val="0"/>
          <w:bCs/>
        </w:rPr>
        <w:tab/>
      </w:r>
      <w:r>
        <w:rPr>
          <w:rFonts w:hint="eastAsia" w:ascii="黑体" w:hAnsi="黑体" w:eastAsia="黑体" w:cs="黑体"/>
          <w:b w:val="0"/>
          <w:bCs/>
        </w:rPr>
        <w:fldChar w:fldCharType="begin"/>
      </w:r>
      <w:r>
        <w:rPr>
          <w:rFonts w:hint="eastAsia" w:ascii="黑体" w:hAnsi="黑体" w:eastAsia="黑体" w:cs="黑体"/>
          <w:b w:val="0"/>
          <w:bCs/>
        </w:rPr>
        <w:instrText xml:space="preserve"> PAGEREF _Toc15885 \h </w:instrText>
      </w:r>
      <w:r>
        <w:rPr>
          <w:rFonts w:hint="eastAsia" w:ascii="黑体" w:hAnsi="黑体" w:eastAsia="黑体" w:cs="黑体"/>
          <w:b w:val="0"/>
          <w:bCs/>
        </w:rPr>
        <w:fldChar w:fldCharType="separate"/>
      </w:r>
      <w:r>
        <w:rPr>
          <w:rFonts w:hint="eastAsia" w:ascii="黑体" w:hAnsi="黑体" w:eastAsia="黑体" w:cs="黑体"/>
          <w:b w:val="0"/>
          <w:bCs/>
        </w:rPr>
        <w:t>- 118 -</w:t>
      </w:r>
      <w:r>
        <w:rPr>
          <w:rFonts w:hint="eastAsia" w:ascii="黑体" w:hAnsi="黑体" w:eastAsia="黑体" w:cs="黑体"/>
          <w:b w:val="0"/>
          <w:bCs/>
        </w:rPr>
        <w:fldChar w:fldCharType="end"/>
      </w:r>
      <w:r>
        <w:rPr>
          <w:rFonts w:hint="eastAsia" w:ascii="黑体" w:hAnsi="黑体" w:eastAsia="黑体" w:cs="黑体"/>
          <w:b w:val="0"/>
          <w:bCs/>
        </w:rPr>
        <w:fldChar w:fldCharType="end"/>
      </w:r>
    </w:p>
    <w:p>
      <w:pPr>
        <w:pStyle w:val="35"/>
        <w:tabs>
          <w:tab w:val="right" w:leader="dot" w:pos="9354"/>
        </w:tabs>
      </w:pPr>
      <w:r>
        <w:rPr>
          <w:rFonts w:hint="eastAsia" w:ascii="黑体" w:hAnsi="黑体" w:eastAsia="黑体" w:cs="黑体"/>
          <w:b w:val="0"/>
          <w:bCs/>
        </w:rPr>
        <w:fldChar w:fldCharType="begin"/>
      </w:r>
      <w:r>
        <w:rPr>
          <w:rFonts w:hint="eastAsia" w:ascii="黑体" w:hAnsi="黑体" w:eastAsia="黑体" w:cs="黑体"/>
          <w:b w:val="0"/>
          <w:bCs/>
        </w:rPr>
        <w:instrText xml:space="preserve"> HYPERLINK \l _Toc10741 </w:instrText>
      </w:r>
      <w:r>
        <w:rPr>
          <w:rFonts w:hint="eastAsia" w:ascii="黑体" w:hAnsi="黑体" w:eastAsia="黑体" w:cs="黑体"/>
          <w:b w:val="0"/>
          <w:bCs/>
        </w:rPr>
        <w:fldChar w:fldCharType="separate"/>
      </w:r>
      <w:r>
        <w:rPr>
          <w:rFonts w:hint="eastAsia" w:ascii="黑体" w:hAnsi="黑体" w:eastAsia="黑体" w:cs="黑体"/>
          <w:b w:val="0"/>
          <w:bCs/>
          <w:kern w:val="2"/>
          <w:szCs w:val="44"/>
          <w:lang w:val="en-US" w:eastAsia="zh-CN" w:bidi="ar-SA"/>
        </w:rPr>
        <w:t>第八章  报价文件内容及格式</w:t>
      </w:r>
      <w:r>
        <w:rPr>
          <w:rFonts w:hint="eastAsia" w:ascii="黑体" w:hAnsi="黑体" w:eastAsia="黑体" w:cs="黑体"/>
          <w:b w:val="0"/>
          <w:bCs/>
        </w:rPr>
        <w:tab/>
      </w:r>
      <w:r>
        <w:rPr>
          <w:rFonts w:hint="eastAsia" w:ascii="黑体" w:hAnsi="黑体" w:eastAsia="黑体" w:cs="黑体"/>
          <w:b w:val="0"/>
          <w:bCs/>
        </w:rPr>
        <w:fldChar w:fldCharType="begin"/>
      </w:r>
      <w:r>
        <w:rPr>
          <w:rFonts w:hint="eastAsia" w:ascii="黑体" w:hAnsi="黑体" w:eastAsia="黑体" w:cs="黑体"/>
          <w:b w:val="0"/>
          <w:bCs/>
        </w:rPr>
        <w:instrText xml:space="preserve"> PAGEREF _Toc10741 \h </w:instrText>
      </w:r>
      <w:r>
        <w:rPr>
          <w:rFonts w:hint="eastAsia" w:ascii="黑体" w:hAnsi="黑体" w:eastAsia="黑体" w:cs="黑体"/>
          <w:b w:val="0"/>
          <w:bCs/>
        </w:rPr>
        <w:fldChar w:fldCharType="separate"/>
      </w:r>
      <w:r>
        <w:rPr>
          <w:rFonts w:hint="eastAsia" w:ascii="黑体" w:hAnsi="黑体" w:eastAsia="黑体" w:cs="黑体"/>
          <w:b w:val="0"/>
          <w:bCs/>
        </w:rPr>
        <w:t>- 121 -</w:t>
      </w:r>
      <w:r>
        <w:rPr>
          <w:rFonts w:hint="eastAsia" w:ascii="黑体" w:hAnsi="黑体" w:eastAsia="黑体" w:cs="黑体"/>
          <w:b w:val="0"/>
          <w:bCs/>
        </w:rPr>
        <w:fldChar w:fldCharType="end"/>
      </w:r>
      <w:r>
        <w:rPr>
          <w:rFonts w:hint="eastAsia" w:ascii="黑体" w:hAnsi="黑体" w:eastAsia="黑体" w:cs="黑体"/>
          <w:b w:val="0"/>
          <w:bCs/>
        </w:rPr>
        <w:fldChar w:fldCharType="end"/>
      </w:r>
    </w:p>
    <w:p>
      <w:pPr>
        <w:sectPr>
          <w:pgSz w:w="11906" w:h="16838"/>
          <w:pgMar w:top="1418" w:right="1134" w:bottom="1418" w:left="1418" w:header="851" w:footer="851" w:gutter="0"/>
          <w:cols w:space="720" w:num="1"/>
        </w:sectPr>
      </w:pPr>
      <w:r>
        <w:fldChar w:fldCharType="end"/>
      </w:r>
    </w:p>
    <w:p>
      <w:pPr>
        <w:pStyle w:val="3"/>
        <w:keepNext w:val="0"/>
        <w:keepLines w:val="0"/>
        <w:adjustRightInd w:val="0"/>
        <w:snapToGrid w:val="0"/>
        <w:spacing w:line="560" w:lineRule="exact"/>
        <w:jc w:val="center"/>
        <w:rPr>
          <w:b w:val="0"/>
          <w:szCs w:val="44"/>
        </w:rPr>
      </w:pPr>
      <w:bookmarkStart w:id="6" w:name="_Toc12911"/>
      <w:bookmarkStart w:id="7" w:name="_Toc285612601"/>
      <w:bookmarkStart w:id="8" w:name="_Toc25906"/>
      <w:bookmarkStart w:id="9" w:name="_Toc390713968"/>
      <w:bookmarkStart w:id="10" w:name="_Toc3979"/>
      <w:bookmarkStart w:id="11" w:name="_Toc945"/>
      <w:bookmarkStart w:id="12" w:name="_Toc19385"/>
      <w:bookmarkStart w:id="13" w:name="_Toc112768378"/>
      <w:bookmarkStart w:id="14" w:name="_Toc240432230"/>
      <w:bookmarkStart w:id="15" w:name="_Toc15634"/>
      <w:bookmarkStart w:id="16" w:name="_Toc28054"/>
      <w:bookmarkStart w:id="17" w:name="_Toc132191221"/>
      <w:bookmarkStart w:id="18" w:name="_Toc112317766"/>
      <w:bookmarkStart w:id="19" w:name="_Hlk112258849"/>
      <w:r>
        <w:rPr>
          <w:rFonts w:hint="eastAsia"/>
          <w:b w:val="0"/>
          <w:szCs w:val="44"/>
          <w:lang w:val="zh-CN"/>
        </w:rPr>
        <w:t>第一章 谈判须知</w:t>
      </w:r>
      <w:bookmarkEnd w:id="6"/>
      <w:bookmarkEnd w:id="7"/>
      <w:bookmarkEnd w:id="8"/>
      <w:bookmarkEnd w:id="9"/>
      <w:bookmarkEnd w:id="10"/>
      <w:bookmarkEnd w:id="11"/>
      <w:bookmarkEnd w:id="12"/>
      <w:bookmarkEnd w:id="13"/>
      <w:bookmarkEnd w:id="14"/>
      <w:bookmarkEnd w:id="15"/>
      <w:bookmarkEnd w:id="16"/>
      <w:bookmarkEnd w:id="17"/>
      <w:bookmarkEnd w:id="18"/>
    </w:p>
    <w:bookmarkEnd w:id="19"/>
    <w:p>
      <w:pPr>
        <w:pStyle w:val="5"/>
        <w:keepNext w:val="0"/>
        <w:keepLines w:val="0"/>
        <w:adjustRightInd w:val="0"/>
        <w:snapToGrid w:val="0"/>
        <w:spacing w:before="120" w:beforeLines="50" w:after="120" w:afterLines="50" w:line="560" w:lineRule="exact"/>
        <w:jc w:val="center"/>
        <w:rPr>
          <w:b w:val="0"/>
        </w:rPr>
      </w:pPr>
      <w:bookmarkStart w:id="20" w:name="_Toc132191222"/>
      <w:bookmarkStart w:id="21" w:name="_Toc16291"/>
      <w:bookmarkStart w:id="22" w:name="_Toc27678"/>
      <w:bookmarkStart w:id="23" w:name="_Toc3044"/>
      <w:bookmarkStart w:id="24" w:name="_Toc19197"/>
      <w:bookmarkStart w:id="25" w:name="_Toc112317767"/>
      <w:bookmarkStart w:id="26" w:name="_Toc5139"/>
      <w:bookmarkStart w:id="27" w:name="_Toc20949"/>
      <w:bookmarkStart w:id="28" w:name="_Toc112768379"/>
      <w:r>
        <w:rPr>
          <w:rFonts w:hint="eastAsia"/>
          <w:b w:val="0"/>
        </w:rPr>
        <w:t>一、说</w:t>
      </w:r>
      <w:r>
        <w:rPr>
          <w:b w:val="0"/>
        </w:rPr>
        <w:t xml:space="preserve">  </w:t>
      </w:r>
      <w:r>
        <w:rPr>
          <w:rFonts w:hint="eastAsia"/>
          <w:b w:val="0"/>
        </w:rPr>
        <w:t>明</w:t>
      </w:r>
      <w:bookmarkEnd w:id="20"/>
      <w:bookmarkEnd w:id="21"/>
      <w:bookmarkEnd w:id="22"/>
      <w:bookmarkEnd w:id="23"/>
      <w:bookmarkEnd w:id="24"/>
      <w:bookmarkEnd w:id="25"/>
      <w:bookmarkEnd w:id="26"/>
      <w:bookmarkEnd w:id="27"/>
      <w:bookmarkEnd w:id="28"/>
    </w:p>
    <w:p>
      <w:pPr>
        <w:pStyle w:val="6"/>
        <w:keepNext w:val="0"/>
        <w:keepLines w:val="0"/>
        <w:adjustRightInd w:val="0"/>
        <w:snapToGrid w:val="0"/>
        <w:spacing w:before="0" w:after="0" w:line="560" w:lineRule="exact"/>
        <w:ind w:firstLine="560" w:firstLineChars="200"/>
        <w:rPr>
          <w:snapToGrid w:val="0"/>
          <w:lang w:val="zh-CN"/>
        </w:rPr>
      </w:pPr>
      <w:bookmarkStart w:id="29" w:name="_Toc4267"/>
      <w:bookmarkStart w:id="30" w:name="_Toc18781"/>
      <w:bookmarkStart w:id="31" w:name="_Toc10142"/>
      <w:bookmarkStart w:id="32" w:name="_Toc27733"/>
      <w:bookmarkStart w:id="33" w:name="_Toc21350"/>
      <w:bookmarkStart w:id="34" w:name="_Toc112768380"/>
      <w:r>
        <w:rPr>
          <w:rFonts w:ascii="黑体" w:hAnsi="黑体"/>
          <w:b w:val="0"/>
        </w:rPr>
        <w:t>1.概述</w:t>
      </w:r>
      <w:bookmarkEnd w:id="29"/>
      <w:bookmarkEnd w:id="30"/>
      <w:bookmarkEnd w:id="31"/>
      <w:bookmarkEnd w:id="32"/>
      <w:bookmarkEnd w:id="33"/>
      <w:bookmarkEnd w:id="34"/>
    </w:p>
    <w:p>
      <w:pPr>
        <w:adjustRightInd w:val="0"/>
        <w:snapToGrid w:val="0"/>
        <w:spacing w:line="560" w:lineRule="exact"/>
        <w:ind w:firstLine="560" w:firstLineChars="200"/>
        <w:rPr>
          <w:rFonts w:ascii="宋体" w:hAnsi="宋体"/>
          <w:bCs/>
          <w:snapToGrid w:val="0"/>
          <w:sz w:val="28"/>
          <w:szCs w:val="28"/>
          <w:lang w:val="zh-CN"/>
        </w:rPr>
      </w:pPr>
      <w:r>
        <w:rPr>
          <w:rFonts w:hint="eastAsia" w:ascii="宋体" w:hAnsi="宋体"/>
          <w:bCs/>
          <w:snapToGrid w:val="0"/>
          <w:sz w:val="28"/>
          <w:szCs w:val="28"/>
          <w:lang w:val="zh-CN"/>
        </w:rPr>
        <w:t>1.1本文件适用于军队物资类竞争性谈判采购项目，用于明确一般性组织程序和实施要求。报价供应商应当结合采购项目谈判文件的专用文件，全面了解采购项目信息。</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lang w:val="zh-CN"/>
        </w:rPr>
        <w:t>1.2</w:t>
      </w:r>
      <w:r>
        <w:rPr>
          <w:rFonts w:hint="eastAsia" w:ascii="宋体" w:hAnsi="宋体"/>
          <w:bCs/>
          <w:snapToGrid w:val="0"/>
          <w:sz w:val="28"/>
          <w:szCs w:val="28"/>
        </w:rPr>
        <w:t>竞争性谈判的各参加方，对在参与谈判过程中获悉的国家、军队和商业秘密，以及其他依法应当保密的内容，均负有保密义务，违者应当承担相应的法律责任。</w:t>
      </w:r>
    </w:p>
    <w:p>
      <w:pPr>
        <w:pStyle w:val="6"/>
        <w:keepNext w:val="0"/>
        <w:keepLines w:val="0"/>
        <w:adjustRightInd w:val="0"/>
        <w:snapToGrid w:val="0"/>
        <w:spacing w:before="0" w:after="0" w:line="560" w:lineRule="exact"/>
        <w:ind w:firstLine="560" w:firstLineChars="200"/>
        <w:rPr>
          <w:rFonts w:ascii="黑体" w:hAnsi="黑体"/>
          <w:b w:val="0"/>
        </w:rPr>
      </w:pPr>
      <w:bookmarkStart w:id="35" w:name="_Toc22416"/>
      <w:bookmarkStart w:id="36" w:name="_Toc27552"/>
      <w:bookmarkStart w:id="37" w:name="_Toc12952"/>
      <w:bookmarkStart w:id="38" w:name="_Toc112768381"/>
      <w:bookmarkStart w:id="39" w:name="_Toc31925"/>
      <w:bookmarkStart w:id="40" w:name="_Toc2154"/>
      <w:r>
        <w:rPr>
          <w:rFonts w:ascii="黑体" w:hAnsi="黑体"/>
          <w:b w:val="0"/>
        </w:rPr>
        <w:t>2.定义</w:t>
      </w:r>
      <w:bookmarkEnd w:id="35"/>
      <w:bookmarkEnd w:id="36"/>
      <w:bookmarkEnd w:id="37"/>
      <w:bookmarkEnd w:id="38"/>
      <w:bookmarkEnd w:id="39"/>
      <w:bookmarkEnd w:id="40"/>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2.1“采购项目”</w:t>
      </w:r>
      <w:r>
        <w:rPr>
          <w:rFonts w:hint="eastAsia" w:ascii="宋体" w:hAnsi="宋体"/>
          <w:bCs/>
          <w:snapToGrid w:val="0"/>
          <w:sz w:val="28"/>
          <w:szCs w:val="28"/>
        </w:rPr>
        <w:t>是</w:t>
      </w:r>
      <w:r>
        <w:rPr>
          <w:rFonts w:ascii="宋体" w:hAnsi="宋体"/>
          <w:bCs/>
          <w:snapToGrid w:val="0"/>
          <w:sz w:val="28"/>
          <w:szCs w:val="28"/>
        </w:rPr>
        <w:t>指本谈判文件描述的所需采购的物资</w:t>
      </w:r>
      <w:r>
        <w:rPr>
          <w:rFonts w:hint="eastAsia" w:ascii="宋体" w:hAnsi="宋体"/>
          <w:bCs/>
          <w:snapToGrid w:val="0"/>
          <w:sz w:val="28"/>
          <w:szCs w:val="28"/>
        </w:rPr>
        <w:t>及其</w:t>
      </w:r>
      <w:r>
        <w:rPr>
          <w:rFonts w:ascii="宋体" w:hAnsi="宋体"/>
          <w:bCs/>
          <w:snapToGrid w:val="0"/>
          <w:sz w:val="28"/>
          <w:szCs w:val="28"/>
        </w:rPr>
        <w:t>相关服务</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2.2“采购机构”</w:t>
      </w:r>
      <w:r>
        <w:rPr>
          <w:rFonts w:hint="eastAsia" w:ascii="宋体" w:hAnsi="宋体"/>
          <w:bCs/>
          <w:snapToGrid w:val="0"/>
          <w:sz w:val="28"/>
          <w:szCs w:val="28"/>
        </w:rPr>
        <w:t>是</w:t>
      </w:r>
      <w:r>
        <w:rPr>
          <w:rFonts w:ascii="宋体" w:hAnsi="宋体"/>
          <w:bCs/>
          <w:snapToGrid w:val="0"/>
          <w:sz w:val="28"/>
          <w:szCs w:val="28"/>
        </w:rPr>
        <w:t>指组织本次谈判的</w:t>
      </w:r>
      <w:r>
        <w:rPr>
          <w:rFonts w:ascii="宋体" w:hAnsi="宋体"/>
          <w:bCs/>
          <w:sz w:val="28"/>
          <w:szCs w:val="28"/>
        </w:rPr>
        <w:t>采购机构</w:t>
      </w:r>
      <w:r>
        <w:rPr>
          <w:rFonts w:hint="eastAsia" w:ascii="宋体" w:hAnsi="宋体"/>
          <w:bCs/>
          <w:sz w:val="28"/>
          <w:szCs w:val="28"/>
        </w:rPr>
        <w:t>或代理机构</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2.3</w:t>
      </w:r>
      <w:r>
        <w:rPr>
          <w:rFonts w:hint="eastAsia" w:ascii="宋体" w:hAnsi="宋体"/>
          <w:bCs/>
          <w:snapToGrid w:val="0"/>
          <w:sz w:val="28"/>
          <w:szCs w:val="28"/>
        </w:rPr>
        <w:t>“采购单位”是指本次采购物资和相关服务的需求单位。</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2.4“</w:t>
      </w:r>
      <w:r>
        <w:rPr>
          <w:rFonts w:hint="eastAsia" w:ascii="宋体" w:hAnsi="宋体"/>
          <w:bCs/>
          <w:snapToGrid w:val="0"/>
          <w:sz w:val="28"/>
          <w:szCs w:val="28"/>
        </w:rPr>
        <w:t>报价</w:t>
      </w:r>
      <w:r>
        <w:rPr>
          <w:rFonts w:ascii="宋体" w:hAnsi="宋体"/>
          <w:bCs/>
          <w:snapToGrid w:val="0"/>
          <w:sz w:val="28"/>
          <w:szCs w:val="28"/>
        </w:rPr>
        <w:t>供应商”</w:t>
      </w:r>
      <w:r>
        <w:rPr>
          <w:rFonts w:hint="eastAsia" w:ascii="宋体" w:hAnsi="宋体"/>
          <w:bCs/>
          <w:snapToGrid w:val="0"/>
          <w:sz w:val="28"/>
          <w:szCs w:val="28"/>
        </w:rPr>
        <w:t>是</w:t>
      </w:r>
      <w:r>
        <w:rPr>
          <w:rFonts w:ascii="宋体" w:hAnsi="宋体"/>
          <w:bCs/>
          <w:snapToGrid w:val="0"/>
          <w:sz w:val="28"/>
          <w:szCs w:val="28"/>
        </w:rPr>
        <w:t>指从采购机构按规定获取</w:t>
      </w:r>
      <w:r>
        <w:rPr>
          <w:rFonts w:hint="eastAsia" w:ascii="宋体" w:hAnsi="宋体"/>
          <w:bCs/>
          <w:snapToGrid w:val="0"/>
          <w:sz w:val="28"/>
          <w:szCs w:val="28"/>
        </w:rPr>
        <w:t>谈判</w:t>
      </w:r>
      <w:r>
        <w:rPr>
          <w:rFonts w:ascii="宋体" w:hAnsi="宋体"/>
          <w:bCs/>
          <w:snapToGrid w:val="0"/>
          <w:sz w:val="28"/>
          <w:szCs w:val="28"/>
        </w:rPr>
        <w:t>文件</w:t>
      </w:r>
      <w:r>
        <w:rPr>
          <w:rFonts w:hint="eastAsia" w:ascii="宋体" w:hAnsi="宋体"/>
          <w:bCs/>
          <w:snapToGrid w:val="0"/>
          <w:sz w:val="28"/>
          <w:szCs w:val="28"/>
        </w:rPr>
        <w:t>并提交报价文件</w:t>
      </w:r>
      <w:r>
        <w:rPr>
          <w:rFonts w:ascii="宋体" w:hAnsi="宋体"/>
          <w:bCs/>
          <w:snapToGrid w:val="0"/>
          <w:sz w:val="28"/>
          <w:szCs w:val="28"/>
        </w:rPr>
        <w:t>的供应商</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2.5“</w:t>
      </w:r>
      <w:bookmarkStart w:id="41" w:name="_Hlk112421795"/>
      <w:r>
        <w:rPr>
          <w:rFonts w:hint="eastAsia" w:ascii="宋体" w:hAnsi="宋体"/>
          <w:bCs/>
          <w:snapToGrid w:val="0"/>
          <w:sz w:val="28"/>
          <w:szCs w:val="28"/>
        </w:rPr>
        <w:t>预</w:t>
      </w:r>
      <w:r>
        <w:rPr>
          <w:rFonts w:ascii="宋体" w:hAnsi="宋体"/>
          <w:bCs/>
          <w:snapToGrid w:val="0"/>
          <w:sz w:val="28"/>
          <w:szCs w:val="28"/>
        </w:rPr>
        <w:t>成交供应商</w:t>
      </w:r>
      <w:bookmarkEnd w:id="41"/>
      <w:r>
        <w:rPr>
          <w:rFonts w:ascii="宋体" w:hAnsi="宋体"/>
          <w:bCs/>
          <w:snapToGrid w:val="0"/>
          <w:sz w:val="28"/>
          <w:szCs w:val="28"/>
        </w:rPr>
        <w:t>”</w:t>
      </w:r>
      <w:r>
        <w:rPr>
          <w:rFonts w:hint="eastAsia" w:ascii="宋体" w:hAnsi="宋体"/>
          <w:bCs/>
          <w:snapToGrid w:val="0"/>
          <w:sz w:val="28"/>
          <w:szCs w:val="28"/>
        </w:rPr>
        <w:t>是</w:t>
      </w:r>
      <w:r>
        <w:rPr>
          <w:rFonts w:ascii="宋体" w:hAnsi="宋体"/>
          <w:bCs/>
          <w:snapToGrid w:val="0"/>
          <w:sz w:val="28"/>
          <w:szCs w:val="28"/>
        </w:rPr>
        <w:t>指</w:t>
      </w:r>
      <w:r>
        <w:rPr>
          <w:rFonts w:ascii="宋体" w:hAnsi="宋体"/>
          <w:bCs/>
          <w:snapToGrid w:val="0"/>
          <w:sz w:val="28"/>
          <w:szCs w:val="28"/>
          <w:lang w:val="zh-CN"/>
        </w:rPr>
        <w:t>经过</w:t>
      </w:r>
      <w:r>
        <w:rPr>
          <w:rFonts w:hint="eastAsia" w:ascii="宋体" w:hAnsi="宋体"/>
          <w:bCs/>
          <w:snapToGrid w:val="0"/>
          <w:sz w:val="28"/>
          <w:szCs w:val="28"/>
          <w:lang w:val="zh-CN"/>
        </w:rPr>
        <w:t>竞争性谈判</w:t>
      </w:r>
      <w:r>
        <w:rPr>
          <w:rFonts w:ascii="宋体" w:hAnsi="宋体"/>
          <w:bCs/>
          <w:snapToGrid w:val="0"/>
          <w:sz w:val="28"/>
          <w:szCs w:val="28"/>
          <w:lang w:val="zh-CN"/>
        </w:rPr>
        <w:t>，</w:t>
      </w:r>
      <w:r>
        <w:rPr>
          <w:rFonts w:hint="eastAsia" w:ascii="宋体" w:hAnsi="宋体"/>
          <w:bCs/>
          <w:snapToGrid w:val="0"/>
          <w:sz w:val="28"/>
          <w:szCs w:val="28"/>
          <w:lang w:val="zh-CN"/>
        </w:rPr>
        <w:t>获得成交资格</w:t>
      </w:r>
      <w:r>
        <w:rPr>
          <w:rFonts w:ascii="宋体" w:hAnsi="宋体"/>
          <w:bCs/>
          <w:snapToGrid w:val="0"/>
          <w:sz w:val="28"/>
          <w:szCs w:val="28"/>
          <w:lang w:val="zh-CN"/>
        </w:rPr>
        <w:t>的</w:t>
      </w:r>
      <w:r>
        <w:rPr>
          <w:rFonts w:hint="eastAsia" w:ascii="宋体" w:hAnsi="宋体"/>
          <w:bCs/>
          <w:snapToGrid w:val="0"/>
          <w:sz w:val="28"/>
          <w:szCs w:val="28"/>
          <w:lang w:val="zh-CN"/>
        </w:rPr>
        <w:t>报价</w:t>
      </w:r>
      <w:r>
        <w:rPr>
          <w:rFonts w:ascii="宋体" w:hAnsi="宋体"/>
          <w:bCs/>
          <w:snapToGrid w:val="0"/>
          <w:sz w:val="28"/>
          <w:szCs w:val="28"/>
          <w:lang w:val="zh-CN"/>
        </w:rPr>
        <w:t>供应商</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2.6“成交供应商”</w:t>
      </w:r>
      <w:r>
        <w:rPr>
          <w:rFonts w:hint="eastAsia" w:ascii="宋体" w:hAnsi="宋体"/>
          <w:bCs/>
          <w:snapToGrid w:val="0"/>
          <w:sz w:val="28"/>
          <w:szCs w:val="28"/>
        </w:rPr>
        <w:t>是</w:t>
      </w:r>
      <w:r>
        <w:rPr>
          <w:rFonts w:ascii="宋体" w:hAnsi="宋体"/>
          <w:bCs/>
          <w:snapToGrid w:val="0"/>
          <w:sz w:val="28"/>
          <w:szCs w:val="28"/>
        </w:rPr>
        <w:t>指</w:t>
      </w:r>
      <w:r>
        <w:rPr>
          <w:rFonts w:ascii="宋体" w:hAnsi="宋体"/>
          <w:bCs/>
          <w:snapToGrid w:val="0"/>
          <w:sz w:val="28"/>
          <w:szCs w:val="28"/>
          <w:lang w:val="zh-CN"/>
        </w:rPr>
        <w:t>经过</w:t>
      </w:r>
      <w:r>
        <w:rPr>
          <w:rFonts w:hint="eastAsia" w:ascii="宋体" w:hAnsi="宋体"/>
          <w:bCs/>
          <w:snapToGrid w:val="0"/>
          <w:sz w:val="28"/>
          <w:szCs w:val="28"/>
          <w:lang w:val="zh-CN"/>
        </w:rPr>
        <w:t>竞争性谈判</w:t>
      </w:r>
      <w:r>
        <w:rPr>
          <w:rFonts w:ascii="宋体" w:hAnsi="宋体"/>
          <w:bCs/>
          <w:snapToGrid w:val="0"/>
          <w:sz w:val="28"/>
          <w:szCs w:val="28"/>
          <w:lang w:val="zh-CN"/>
        </w:rPr>
        <w:t>，</w:t>
      </w:r>
      <w:bookmarkStart w:id="42" w:name="_Hlk112351339"/>
      <w:bookmarkStart w:id="43" w:name="_Hlk112259183"/>
      <w:r>
        <w:rPr>
          <w:rFonts w:hint="eastAsia" w:ascii="宋体" w:hAnsi="宋体"/>
          <w:bCs/>
          <w:snapToGrid w:val="0"/>
          <w:sz w:val="28"/>
          <w:szCs w:val="28"/>
          <w:lang w:val="zh-CN"/>
        </w:rPr>
        <w:t>获得合同签订资格</w:t>
      </w:r>
      <w:bookmarkEnd w:id="42"/>
      <w:r>
        <w:rPr>
          <w:rFonts w:ascii="宋体" w:hAnsi="宋体"/>
          <w:bCs/>
          <w:snapToGrid w:val="0"/>
          <w:sz w:val="28"/>
          <w:szCs w:val="28"/>
          <w:lang w:val="zh-CN"/>
        </w:rPr>
        <w:t>的</w:t>
      </w:r>
      <w:r>
        <w:rPr>
          <w:rFonts w:hint="eastAsia" w:ascii="宋体" w:hAnsi="宋体"/>
          <w:bCs/>
          <w:snapToGrid w:val="0"/>
          <w:sz w:val="28"/>
          <w:szCs w:val="28"/>
          <w:lang w:val="zh-CN"/>
        </w:rPr>
        <w:t>报价</w:t>
      </w:r>
      <w:r>
        <w:rPr>
          <w:rFonts w:ascii="宋体" w:hAnsi="宋体"/>
          <w:bCs/>
          <w:snapToGrid w:val="0"/>
          <w:sz w:val="28"/>
          <w:szCs w:val="28"/>
          <w:lang w:val="zh-CN"/>
        </w:rPr>
        <w:t>供应商</w:t>
      </w:r>
      <w:bookmarkEnd w:id="43"/>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2.7“物资”</w:t>
      </w:r>
      <w:r>
        <w:rPr>
          <w:rFonts w:hint="eastAsia" w:ascii="宋体" w:hAnsi="宋体"/>
          <w:bCs/>
          <w:snapToGrid w:val="0"/>
          <w:sz w:val="28"/>
          <w:szCs w:val="28"/>
        </w:rPr>
        <w:t>是</w:t>
      </w:r>
      <w:r>
        <w:rPr>
          <w:rFonts w:ascii="宋体" w:hAnsi="宋体"/>
          <w:bCs/>
          <w:snapToGrid w:val="0"/>
          <w:sz w:val="28"/>
          <w:szCs w:val="28"/>
        </w:rPr>
        <w:t>指成交供应商按谈判文件规定，提供的各种形态和种类的物品，包括设备、产品、备品备件、工具、手册等</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2.8“服务”</w:t>
      </w:r>
      <w:r>
        <w:rPr>
          <w:rFonts w:hint="eastAsia" w:ascii="宋体" w:hAnsi="宋体"/>
          <w:bCs/>
          <w:snapToGrid w:val="0"/>
          <w:sz w:val="28"/>
          <w:szCs w:val="28"/>
        </w:rPr>
        <w:t>是</w:t>
      </w:r>
      <w:r>
        <w:rPr>
          <w:rFonts w:ascii="宋体" w:hAnsi="宋体"/>
          <w:bCs/>
          <w:snapToGrid w:val="0"/>
          <w:sz w:val="28"/>
          <w:szCs w:val="28"/>
        </w:rPr>
        <w:t>指成交供应商按谈判文件规定，</w:t>
      </w:r>
      <w:r>
        <w:rPr>
          <w:rFonts w:hint="eastAsia" w:ascii="宋体" w:hAnsi="宋体"/>
          <w:bCs/>
          <w:snapToGrid w:val="0"/>
          <w:sz w:val="28"/>
          <w:szCs w:val="28"/>
        </w:rPr>
        <w:t>应当</w:t>
      </w:r>
      <w:r>
        <w:rPr>
          <w:rFonts w:ascii="宋体" w:hAnsi="宋体"/>
          <w:bCs/>
          <w:snapToGrid w:val="0"/>
          <w:sz w:val="28"/>
          <w:szCs w:val="28"/>
        </w:rPr>
        <w:t>承担的运输、安装、调试、技术协助、培训、维修</w:t>
      </w:r>
      <w:r>
        <w:rPr>
          <w:rFonts w:hint="eastAsia" w:ascii="宋体" w:hAnsi="宋体"/>
          <w:bCs/>
          <w:snapToGrid w:val="0"/>
          <w:sz w:val="28"/>
          <w:szCs w:val="28"/>
        </w:rPr>
        <w:t>及</w:t>
      </w:r>
      <w:r>
        <w:rPr>
          <w:rFonts w:ascii="宋体" w:hAnsi="宋体"/>
          <w:bCs/>
          <w:snapToGrid w:val="0"/>
          <w:sz w:val="28"/>
          <w:szCs w:val="28"/>
        </w:rPr>
        <w:t>配件供应等义务。</w:t>
      </w:r>
    </w:p>
    <w:p>
      <w:pPr>
        <w:pStyle w:val="6"/>
        <w:keepNext w:val="0"/>
        <w:keepLines w:val="0"/>
        <w:adjustRightInd w:val="0"/>
        <w:snapToGrid w:val="0"/>
        <w:spacing w:before="0" w:after="0" w:line="560" w:lineRule="exact"/>
        <w:ind w:firstLine="560" w:firstLineChars="200"/>
        <w:rPr>
          <w:rFonts w:ascii="黑体" w:hAnsi="黑体"/>
          <w:b w:val="0"/>
        </w:rPr>
      </w:pPr>
      <w:bookmarkStart w:id="44" w:name="_Toc112768382"/>
      <w:bookmarkStart w:id="45" w:name="_Toc8203"/>
      <w:bookmarkStart w:id="46" w:name="_Toc6801"/>
      <w:bookmarkStart w:id="47" w:name="_Toc29116"/>
      <w:bookmarkStart w:id="48" w:name="_Toc11437"/>
      <w:bookmarkStart w:id="49" w:name="_Toc20366"/>
      <w:r>
        <w:rPr>
          <w:rFonts w:ascii="黑体" w:hAnsi="黑体"/>
          <w:b w:val="0"/>
        </w:rPr>
        <w:t>3.合格的</w:t>
      </w:r>
      <w:r>
        <w:rPr>
          <w:rFonts w:hint="eastAsia" w:ascii="黑体" w:hAnsi="黑体"/>
          <w:b w:val="0"/>
        </w:rPr>
        <w:t>报价</w:t>
      </w:r>
      <w:r>
        <w:rPr>
          <w:rFonts w:ascii="黑体" w:hAnsi="黑体"/>
          <w:b w:val="0"/>
        </w:rPr>
        <w:t>供应商</w:t>
      </w:r>
      <w:bookmarkEnd w:id="44"/>
      <w:bookmarkEnd w:id="45"/>
      <w:bookmarkEnd w:id="46"/>
      <w:bookmarkEnd w:id="47"/>
      <w:bookmarkEnd w:id="48"/>
      <w:bookmarkEnd w:id="49"/>
    </w:p>
    <w:p>
      <w:pPr>
        <w:tabs>
          <w:tab w:val="left" w:pos="574"/>
        </w:tabs>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3.1能够遵守国家和军队的有关法律、法规和本次</w:t>
      </w:r>
      <w:r>
        <w:rPr>
          <w:rFonts w:hint="eastAsia" w:ascii="宋体" w:hAnsi="宋体"/>
          <w:bCs/>
          <w:snapToGrid w:val="0"/>
          <w:sz w:val="28"/>
          <w:szCs w:val="28"/>
        </w:rPr>
        <w:t>竞争性谈判</w:t>
      </w:r>
      <w:r>
        <w:rPr>
          <w:rFonts w:ascii="宋体" w:hAnsi="宋体"/>
          <w:bCs/>
          <w:snapToGrid w:val="0"/>
          <w:sz w:val="28"/>
          <w:szCs w:val="28"/>
        </w:rPr>
        <w:t>的有关规定</w:t>
      </w:r>
      <w:r>
        <w:rPr>
          <w:rFonts w:hint="eastAsia" w:ascii="宋体" w:hAnsi="宋体"/>
          <w:bCs/>
          <w:snapToGrid w:val="0"/>
          <w:sz w:val="28"/>
          <w:szCs w:val="28"/>
        </w:rPr>
        <w:t>。</w:t>
      </w:r>
    </w:p>
    <w:p>
      <w:pPr>
        <w:tabs>
          <w:tab w:val="left" w:pos="574"/>
        </w:tabs>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3.2符合</w:t>
      </w:r>
      <w:r>
        <w:rPr>
          <w:rFonts w:hint="eastAsia" w:ascii="宋体" w:hAnsi="宋体"/>
          <w:bCs/>
          <w:snapToGrid w:val="0"/>
          <w:sz w:val="28"/>
          <w:szCs w:val="28"/>
        </w:rPr>
        <w:t>谈判文件的专用文件</w:t>
      </w:r>
      <w:r>
        <w:rPr>
          <w:rFonts w:hint="eastAsia" w:asciiTheme="minorEastAsia" w:hAnsiTheme="minorEastAsia" w:eastAsiaTheme="minorEastAsia"/>
          <w:bCs/>
          <w:sz w:val="28"/>
          <w:szCs w:val="28"/>
        </w:rPr>
        <w:t>【报价供应商须知前附表】</w:t>
      </w:r>
      <w:r>
        <w:rPr>
          <w:rFonts w:ascii="宋体" w:hAnsi="宋体"/>
          <w:bCs/>
          <w:snapToGrid w:val="0"/>
          <w:sz w:val="28"/>
          <w:szCs w:val="28"/>
        </w:rPr>
        <w:t>所述的</w:t>
      </w:r>
      <w:r>
        <w:rPr>
          <w:rFonts w:hint="eastAsia" w:ascii="宋体" w:hAnsi="宋体"/>
          <w:bCs/>
          <w:snapToGrid w:val="0"/>
          <w:sz w:val="28"/>
          <w:szCs w:val="28"/>
        </w:rPr>
        <w:t>报价</w:t>
      </w:r>
      <w:r>
        <w:rPr>
          <w:rFonts w:ascii="宋体" w:hAnsi="宋体"/>
          <w:bCs/>
          <w:snapToGrid w:val="0"/>
          <w:sz w:val="28"/>
          <w:szCs w:val="28"/>
        </w:rPr>
        <w:t>供应商资格条件</w:t>
      </w:r>
      <w:r>
        <w:rPr>
          <w:rFonts w:hint="eastAsia" w:ascii="宋体" w:hAnsi="宋体"/>
          <w:bCs/>
          <w:snapToGrid w:val="0"/>
          <w:sz w:val="28"/>
          <w:szCs w:val="28"/>
        </w:rPr>
        <w:t>。</w:t>
      </w:r>
    </w:p>
    <w:p>
      <w:pPr>
        <w:tabs>
          <w:tab w:val="left" w:pos="574"/>
        </w:tabs>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3.3能够承担</w:t>
      </w:r>
      <w:r>
        <w:rPr>
          <w:rFonts w:hint="eastAsia" w:ascii="宋体" w:hAnsi="宋体"/>
          <w:bCs/>
          <w:snapToGrid w:val="0"/>
          <w:sz w:val="28"/>
          <w:szCs w:val="28"/>
        </w:rPr>
        <w:t>报价文件</w:t>
      </w:r>
      <w:r>
        <w:rPr>
          <w:rFonts w:ascii="宋体" w:hAnsi="宋体"/>
          <w:bCs/>
          <w:snapToGrid w:val="0"/>
          <w:sz w:val="28"/>
          <w:szCs w:val="28"/>
        </w:rPr>
        <w:t>及</w:t>
      </w:r>
      <w:r>
        <w:rPr>
          <w:rFonts w:hint="eastAsia" w:ascii="宋体" w:hAnsi="宋体"/>
          <w:bCs/>
          <w:snapToGrid w:val="0"/>
          <w:sz w:val="28"/>
          <w:szCs w:val="28"/>
        </w:rPr>
        <w:t>采购合同</w:t>
      </w:r>
      <w:r>
        <w:rPr>
          <w:rFonts w:ascii="宋体" w:hAnsi="宋体"/>
          <w:bCs/>
          <w:snapToGrid w:val="0"/>
          <w:sz w:val="28"/>
          <w:szCs w:val="28"/>
        </w:rPr>
        <w:t>中</w:t>
      </w:r>
      <w:r>
        <w:rPr>
          <w:rFonts w:hint="eastAsia" w:ascii="宋体" w:hAnsi="宋体"/>
          <w:bCs/>
          <w:snapToGrid w:val="0"/>
          <w:sz w:val="28"/>
          <w:szCs w:val="28"/>
        </w:rPr>
        <w:t>明确的</w:t>
      </w:r>
      <w:r>
        <w:rPr>
          <w:rFonts w:ascii="宋体" w:hAnsi="宋体"/>
          <w:bCs/>
          <w:snapToGrid w:val="0"/>
          <w:sz w:val="28"/>
          <w:szCs w:val="28"/>
        </w:rPr>
        <w:t>全部责任与义务。</w:t>
      </w:r>
    </w:p>
    <w:p>
      <w:pPr>
        <w:pStyle w:val="6"/>
        <w:keepNext w:val="0"/>
        <w:keepLines w:val="0"/>
        <w:adjustRightInd w:val="0"/>
        <w:snapToGrid w:val="0"/>
        <w:spacing w:before="0" w:after="0" w:line="560" w:lineRule="exact"/>
        <w:ind w:firstLine="560" w:firstLineChars="200"/>
        <w:rPr>
          <w:rFonts w:ascii="黑体" w:hAnsi="黑体"/>
          <w:b w:val="0"/>
        </w:rPr>
      </w:pPr>
      <w:bookmarkStart w:id="50" w:name="_Toc6977"/>
      <w:bookmarkStart w:id="51" w:name="_Toc12583"/>
      <w:bookmarkStart w:id="52" w:name="_Toc17620"/>
      <w:bookmarkStart w:id="53" w:name="_Toc112768383"/>
      <w:bookmarkStart w:id="54" w:name="_Toc18986"/>
      <w:bookmarkStart w:id="55" w:name="_Toc6947"/>
      <w:r>
        <w:rPr>
          <w:rFonts w:ascii="黑体" w:hAnsi="黑体"/>
          <w:b w:val="0"/>
        </w:rPr>
        <w:t>4.</w:t>
      </w:r>
      <w:r>
        <w:rPr>
          <w:rFonts w:hint="eastAsia" w:ascii="黑体" w:hAnsi="黑体"/>
          <w:b w:val="0"/>
        </w:rPr>
        <w:t>合格的物资及其相关服务</w:t>
      </w:r>
      <w:bookmarkEnd w:id="50"/>
      <w:bookmarkEnd w:id="51"/>
      <w:bookmarkEnd w:id="52"/>
      <w:bookmarkEnd w:id="53"/>
      <w:bookmarkEnd w:id="54"/>
      <w:bookmarkEnd w:id="55"/>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4.1</w:t>
      </w:r>
      <w:r>
        <w:rPr>
          <w:rFonts w:hint="eastAsia" w:ascii="宋体" w:hAnsi="宋体"/>
          <w:bCs/>
          <w:snapToGrid w:val="0"/>
          <w:sz w:val="28"/>
          <w:szCs w:val="28"/>
        </w:rPr>
        <w:t>报价</w:t>
      </w:r>
      <w:r>
        <w:rPr>
          <w:rFonts w:ascii="宋体" w:hAnsi="宋体"/>
          <w:bCs/>
          <w:snapToGrid w:val="0"/>
          <w:sz w:val="28"/>
          <w:szCs w:val="28"/>
        </w:rPr>
        <w:t>供应商对</w:t>
      </w:r>
      <w:r>
        <w:rPr>
          <w:rFonts w:hint="eastAsia" w:ascii="宋体" w:hAnsi="宋体"/>
          <w:bCs/>
          <w:snapToGrid w:val="0"/>
          <w:sz w:val="28"/>
          <w:szCs w:val="28"/>
        </w:rPr>
        <w:t>其</w:t>
      </w:r>
      <w:r>
        <w:rPr>
          <w:rFonts w:ascii="宋体" w:hAnsi="宋体"/>
          <w:bCs/>
          <w:snapToGrid w:val="0"/>
          <w:sz w:val="28"/>
          <w:szCs w:val="28"/>
        </w:rPr>
        <w:t>提供的物资应当享有合法的所有权，没有侵犯任何第三方的知识产权、技术秘密等权利，而且不存在任何抵押、留置、查封等产权瑕疵</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4.2</w:t>
      </w:r>
      <w:r>
        <w:rPr>
          <w:rFonts w:hint="eastAsia" w:ascii="宋体" w:hAnsi="宋体"/>
          <w:bCs/>
          <w:snapToGrid w:val="0"/>
          <w:sz w:val="28"/>
          <w:szCs w:val="28"/>
        </w:rPr>
        <w:t>报价</w:t>
      </w:r>
      <w:r>
        <w:rPr>
          <w:rFonts w:ascii="宋体" w:hAnsi="宋体"/>
          <w:bCs/>
          <w:snapToGrid w:val="0"/>
          <w:sz w:val="28"/>
          <w:szCs w:val="28"/>
        </w:rPr>
        <w:t>供应商提供的物资</w:t>
      </w:r>
      <w:r>
        <w:rPr>
          <w:rFonts w:hint="eastAsia" w:ascii="宋体" w:hAnsi="宋体"/>
          <w:bCs/>
          <w:snapToGrid w:val="0"/>
          <w:sz w:val="28"/>
          <w:szCs w:val="28"/>
        </w:rPr>
        <w:t>应当</w:t>
      </w:r>
      <w:r>
        <w:rPr>
          <w:rFonts w:ascii="宋体" w:hAnsi="宋体"/>
          <w:bCs/>
          <w:snapToGrid w:val="0"/>
          <w:sz w:val="28"/>
          <w:szCs w:val="28"/>
        </w:rPr>
        <w:t>是全新</w:t>
      </w:r>
      <w:r>
        <w:rPr>
          <w:rFonts w:hint="eastAsia" w:ascii="宋体" w:hAnsi="宋体"/>
          <w:bCs/>
          <w:snapToGrid w:val="0"/>
          <w:sz w:val="28"/>
          <w:szCs w:val="28"/>
        </w:rPr>
        <w:t>且</w:t>
      </w:r>
      <w:r>
        <w:rPr>
          <w:rFonts w:ascii="宋体" w:hAnsi="宋体"/>
          <w:bCs/>
          <w:snapToGrid w:val="0"/>
          <w:sz w:val="28"/>
          <w:szCs w:val="28"/>
        </w:rPr>
        <w:t>未使用过的，物资和相关服务应当符合谈判文件要求。</w:t>
      </w:r>
    </w:p>
    <w:p>
      <w:pPr>
        <w:pStyle w:val="6"/>
        <w:keepNext w:val="0"/>
        <w:keepLines w:val="0"/>
        <w:adjustRightInd w:val="0"/>
        <w:snapToGrid w:val="0"/>
        <w:spacing w:before="0" w:after="0" w:line="560" w:lineRule="exact"/>
        <w:ind w:firstLine="560" w:firstLineChars="200"/>
        <w:rPr>
          <w:rFonts w:ascii="黑体" w:hAnsi="黑体"/>
          <w:b w:val="0"/>
        </w:rPr>
      </w:pPr>
      <w:bookmarkStart w:id="56" w:name="_Toc18900"/>
      <w:bookmarkStart w:id="57" w:name="_Toc112768384"/>
      <w:bookmarkStart w:id="58" w:name="_Toc17326"/>
      <w:bookmarkStart w:id="59" w:name="_Toc26101"/>
      <w:bookmarkStart w:id="60" w:name="_Toc32653"/>
      <w:bookmarkStart w:id="61" w:name="_Toc9133"/>
      <w:r>
        <w:rPr>
          <w:rFonts w:ascii="黑体" w:hAnsi="黑体"/>
          <w:b w:val="0"/>
        </w:rPr>
        <w:t>5.</w:t>
      </w:r>
      <w:r>
        <w:rPr>
          <w:rFonts w:hint="eastAsia" w:ascii="黑体" w:hAnsi="黑体"/>
          <w:b w:val="0"/>
        </w:rPr>
        <w:t>授权委托</w:t>
      </w:r>
      <w:bookmarkEnd w:id="56"/>
      <w:bookmarkEnd w:id="57"/>
      <w:bookmarkEnd w:id="58"/>
      <w:bookmarkEnd w:id="59"/>
      <w:bookmarkEnd w:id="60"/>
      <w:bookmarkEnd w:id="61"/>
    </w:p>
    <w:p>
      <w:pPr>
        <w:adjustRightInd w:val="0"/>
        <w:snapToGrid w:val="0"/>
        <w:spacing w:line="560" w:lineRule="exact"/>
        <w:ind w:firstLine="560" w:firstLineChars="200"/>
        <w:rPr>
          <w:bCs/>
          <w:snapToGrid w:val="0"/>
          <w:sz w:val="28"/>
          <w:szCs w:val="28"/>
        </w:rPr>
      </w:pPr>
      <w:r>
        <w:rPr>
          <w:rFonts w:ascii="宋体" w:hAnsi="宋体"/>
          <w:bCs/>
          <w:snapToGrid w:val="0"/>
          <w:sz w:val="28"/>
          <w:szCs w:val="28"/>
        </w:rPr>
        <w:t>5.1</w:t>
      </w:r>
      <w:r>
        <w:rPr>
          <w:rFonts w:hint="eastAsia"/>
          <w:bCs/>
          <w:snapToGrid w:val="0"/>
          <w:sz w:val="28"/>
          <w:szCs w:val="28"/>
        </w:rPr>
        <w:t>如报价供应商代表不是法定代表人，</w:t>
      </w:r>
      <w:r>
        <w:rPr>
          <w:rFonts w:hint="eastAsia" w:ascii="宋体" w:hAnsi="宋体"/>
          <w:bCs/>
          <w:snapToGrid w:val="0"/>
          <w:sz w:val="28"/>
          <w:szCs w:val="28"/>
        </w:rPr>
        <w:t>应当</w:t>
      </w:r>
      <w:r>
        <w:rPr>
          <w:rFonts w:hint="eastAsia"/>
          <w:bCs/>
          <w:snapToGrid w:val="0"/>
          <w:sz w:val="28"/>
          <w:szCs w:val="28"/>
        </w:rPr>
        <w:t>在报价文件中提供《法定代表人授权书》，后附授权代表在</w:t>
      </w:r>
      <w:r>
        <w:rPr>
          <w:rFonts w:hint="eastAsia" w:ascii="宋体" w:hAnsi="宋体"/>
          <w:bCs/>
          <w:snapToGrid w:val="0"/>
          <w:sz w:val="28"/>
          <w:szCs w:val="28"/>
          <w:lang w:val="zh-CN"/>
        </w:rPr>
        <w:t>报价前4个月内（不含报价当月）连续3个月由</w:t>
      </w:r>
      <w:r>
        <w:rPr>
          <w:rFonts w:hint="eastAsia"/>
          <w:bCs/>
          <w:snapToGrid w:val="0"/>
          <w:sz w:val="28"/>
          <w:szCs w:val="28"/>
        </w:rPr>
        <w:t>报价供应商缴纳社保证明材料。</w:t>
      </w:r>
      <w:r>
        <w:rPr>
          <w:rFonts w:hint="eastAsia" w:asciiTheme="majorEastAsia" w:hAnsiTheme="majorEastAsia" w:eastAsiaTheme="majorEastAsia"/>
          <w:bCs/>
          <w:snapToGrid w:val="0"/>
          <w:sz w:val="28"/>
          <w:szCs w:val="28"/>
        </w:rPr>
        <w:t>代缴社保证明材料不予认可。</w:t>
      </w:r>
    </w:p>
    <w:p>
      <w:pPr>
        <w:pStyle w:val="6"/>
        <w:keepNext w:val="0"/>
        <w:keepLines w:val="0"/>
        <w:adjustRightInd w:val="0"/>
        <w:snapToGrid w:val="0"/>
        <w:spacing w:before="0" w:after="0" w:line="560" w:lineRule="exact"/>
        <w:ind w:firstLine="560" w:firstLineChars="200"/>
        <w:rPr>
          <w:rFonts w:ascii="黑体" w:hAnsi="黑体"/>
          <w:b w:val="0"/>
        </w:rPr>
      </w:pPr>
      <w:bookmarkStart w:id="62" w:name="_Toc5983"/>
      <w:bookmarkStart w:id="63" w:name="_Toc21752"/>
      <w:bookmarkStart w:id="64" w:name="_Toc3974"/>
      <w:bookmarkStart w:id="65" w:name="_Toc112768385"/>
      <w:bookmarkStart w:id="66" w:name="_Toc24739"/>
      <w:bookmarkStart w:id="67" w:name="_Toc20166"/>
      <w:r>
        <w:rPr>
          <w:rFonts w:ascii="黑体" w:hAnsi="黑体"/>
          <w:b w:val="0"/>
        </w:rPr>
        <w:t>6.</w:t>
      </w:r>
      <w:r>
        <w:rPr>
          <w:rFonts w:hint="eastAsia" w:ascii="黑体" w:hAnsi="黑体"/>
          <w:b w:val="0"/>
        </w:rPr>
        <w:t>谈判费用</w:t>
      </w:r>
      <w:bookmarkEnd w:id="62"/>
      <w:bookmarkEnd w:id="63"/>
      <w:bookmarkEnd w:id="64"/>
      <w:bookmarkEnd w:id="65"/>
      <w:bookmarkEnd w:id="66"/>
      <w:bookmarkEnd w:id="67"/>
    </w:p>
    <w:p>
      <w:pPr>
        <w:adjustRightInd w:val="0"/>
        <w:snapToGrid w:val="0"/>
        <w:spacing w:line="560" w:lineRule="exact"/>
        <w:ind w:firstLine="560" w:firstLineChars="200"/>
        <w:rPr>
          <w:bCs/>
          <w:snapToGrid w:val="0"/>
          <w:sz w:val="28"/>
          <w:szCs w:val="28"/>
        </w:rPr>
      </w:pPr>
      <w:r>
        <w:rPr>
          <w:rFonts w:ascii="宋体" w:hAnsi="宋体"/>
          <w:bCs/>
          <w:snapToGrid w:val="0"/>
          <w:sz w:val="28"/>
          <w:szCs w:val="28"/>
        </w:rPr>
        <w:t>6.1</w:t>
      </w:r>
      <w:r>
        <w:rPr>
          <w:rFonts w:hint="eastAsia"/>
          <w:bCs/>
          <w:snapToGrid w:val="0"/>
          <w:sz w:val="28"/>
          <w:szCs w:val="28"/>
        </w:rPr>
        <w:t>无论谈判结果如何，报价供应商均应当自行承担准备和参加谈判相关的全部费用。</w:t>
      </w:r>
    </w:p>
    <w:p>
      <w:pPr>
        <w:pStyle w:val="6"/>
        <w:keepNext w:val="0"/>
        <w:keepLines w:val="0"/>
        <w:adjustRightInd w:val="0"/>
        <w:snapToGrid w:val="0"/>
        <w:spacing w:before="0" w:after="0" w:line="560" w:lineRule="exact"/>
        <w:ind w:firstLine="560" w:firstLineChars="200"/>
        <w:rPr>
          <w:rFonts w:ascii="黑体" w:hAnsi="黑体"/>
          <w:b w:val="0"/>
        </w:rPr>
      </w:pPr>
      <w:bookmarkStart w:id="68" w:name="_Toc22348"/>
      <w:bookmarkStart w:id="69" w:name="_Toc17255"/>
      <w:bookmarkStart w:id="70" w:name="_Toc30514"/>
      <w:bookmarkStart w:id="71" w:name="_Toc5991"/>
      <w:bookmarkStart w:id="72" w:name="_Toc27522"/>
      <w:bookmarkStart w:id="73" w:name="_Toc112768386"/>
      <w:bookmarkStart w:id="74" w:name="_Toc112317768"/>
      <w:r>
        <w:rPr>
          <w:rFonts w:ascii="黑体" w:hAnsi="黑体"/>
          <w:b w:val="0"/>
        </w:rPr>
        <w:t>7.</w:t>
      </w:r>
      <w:r>
        <w:rPr>
          <w:rFonts w:hint="eastAsia" w:ascii="黑体" w:hAnsi="黑体"/>
          <w:b w:val="0"/>
        </w:rPr>
        <w:t>组织现场踏勘或召开标前答疑会</w:t>
      </w:r>
      <w:bookmarkEnd w:id="68"/>
      <w:bookmarkEnd w:id="69"/>
      <w:bookmarkEnd w:id="70"/>
      <w:bookmarkEnd w:id="71"/>
      <w:bookmarkEnd w:id="72"/>
      <w:bookmarkEnd w:id="73"/>
    </w:p>
    <w:p>
      <w:pPr>
        <w:adjustRightInd w:val="0"/>
        <w:snapToGrid w:val="0"/>
        <w:spacing w:line="560" w:lineRule="exact"/>
        <w:ind w:firstLine="560" w:firstLineChars="200"/>
        <w:jc w:val="left"/>
        <w:rPr>
          <w:rFonts w:asciiTheme="minorEastAsia" w:hAnsiTheme="minorEastAsia" w:eastAsiaTheme="minorEastAsia"/>
          <w:bCs/>
          <w:sz w:val="28"/>
          <w:szCs w:val="28"/>
        </w:rPr>
      </w:pPr>
      <w:r>
        <w:rPr>
          <w:rFonts w:asciiTheme="minorEastAsia" w:hAnsiTheme="minorEastAsia" w:eastAsiaTheme="minorEastAsia"/>
          <w:bCs/>
          <w:sz w:val="28"/>
          <w:szCs w:val="28"/>
        </w:rPr>
        <w:t>7.1采购机构可以在</w:t>
      </w:r>
      <w:r>
        <w:rPr>
          <w:rFonts w:hint="eastAsia" w:asciiTheme="minorEastAsia" w:hAnsiTheme="minorEastAsia" w:eastAsiaTheme="minorEastAsia"/>
          <w:bCs/>
          <w:sz w:val="28"/>
          <w:szCs w:val="28"/>
        </w:rPr>
        <w:t>【报价供应商须知前附表】明确的谈判文件申领时间截止后，组织已获取谈判文件的报价供应商现场踏勘或召开标前答疑会。</w:t>
      </w:r>
    </w:p>
    <w:p>
      <w:pPr>
        <w:adjustRightInd w:val="0"/>
        <w:snapToGrid w:val="0"/>
        <w:spacing w:line="560" w:lineRule="exact"/>
        <w:ind w:firstLine="560" w:firstLineChars="200"/>
        <w:jc w:val="left"/>
        <w:rPr>
          <w:rFonts w:asciiTheme="minorEastAsia" w:hAnsiTheme="minorEastAsia" w:eastAsiaTheme="minorEastAsia"/>
          <w:bCs/>
          <w:sz w:val="28"/>
          <w:szCs w:val="28"/>
        </w:rPr>
      </w:pPr>
      <w:r>
        <w:rPr>
          <w:rFonts w:asciiTheme="minorEastAsia" w:hAnsiTheme="minorEastAsia" w:eastAsiaTheme="minorEastAsia"/>
          <w:bCs/>
          <w:sz w:val="28"/>
          <w:szCs w:val="28"/>
        </w:rPr>
        <w:t>7.2</w:t>
      </w:r>
      <w:r>
        <w:rPr>
          <w:rFonts w:hint="eastAsia" w:asciiTheme="minorEastAsia" w:hAnsiTheme="minorEastAsia" w:eastAsiaTheme="minorEastAsia"/>
          <w:bCs/>
          <w:sz w:val="28"/>
          <w:szCs w:val="28"/>
        </w:rPr>
        <w:t>已</w:t>
      </w:r>
      <w:r>
        <w:rPr>
          <w:rFonts w:asciiTheme="minorEastAsia" w:hAnsiTheme="minorEastAsia" w:eastAsiaTheme="minorEastAsia"/>
          <w:bCs/>
          <w:sz w:val="28"/>
          <w:szCs w:val="28"/>
        </w:rPr>
        <w:t>申领谈判文件的供应商按</w:t>
      </w:r>
      <w:r>
        <w:rPr>
          <w:rFonts w:hint="eastAsia" w:asciiTheme="minorEastAsia" w:hAnsiTheme="minorEastAsia" w:eastAsiaTheme="minorEastAsia"/>
          <w:bCs/>
          <w:sz w:val="28"/>
          <w:szCs w:val="28"/>
        </w:rPr>
        <w:t>【报价供应商须知前附表】明确的要求参加现场踏勘或标前答疑会；如不参加，风险自行承担。</w:t>
      </w:r>
    </w:p>
    <w:p>
      <w:pPr>
        <w:adjustRightInd w:val="0"/>
        <w:snapToGrid w:val="0"/>
        <w:spacing w:line="560" w:lineRule="exact"/>
        <w:ind w:firstLine="560" w:firstLineChars="200"/>
        <w:jc w:val="left"/>
        <w:rPr>
          <w:rFonts w:asciiTheme="minorEastAsia" w:hAnsiTheme="minorEastAsia" w:eastAsiaTheme="minorEastAsia"/>
          <w:bCs/>
          <w:sz w:val="28"/>
          <w:szCs w:val="28"/>
        </w:rPr>
      </w:pPr>
      <w:r>
        <w:rPr>
          <w:rFonts w:asciiTheme="minorEastAsia" w:hAnsiTheme="minorEastAsia" w:eastAsiaTheme="minorEastAsia"/>
          <w:bCs/>
          <w:sz w:val="28"/>
          <w:szCs w:val="28"/>
        </w:rPr>
        <w:t>7.3</w:t>
      </w:r>
      <w:r>
        <w:rPr>
          <w:rFonts w:hint="eastAsia" w:asciiTheme="minorEastAsia" w:hAnsiTheme="minorEastAsia" w:eastAsiaTheme="minorEastAsia"/>
          <w:bCs/>
          <w:sz w:val="28"/>
          <w:szCs w:val="28"/>
        </w:rPr>
        <w:t>报价</w:t>
      </w:r>
      <w:r>
        <w:rPr>
          <w:rFonts w:asciiTheme="minorEastAsia" w:hAnsiTheme="minorEastAsia" w:eastAsiaTheme="minorEastAsia"/>
          <w:bCs/>
          <w:sz w:val="28"/>
          <w:szCs w:val="28"/>
        </w:rPr>
        <w:t>供应商</w:t>
      </w:r>
      <w:r>
        <w:rPr>
          <w:rFonts w:hint="eastAsia" w:asciiTheme="minorEastAsia" w:hAnsiTheme="minorEastAsia" w:eastAsiaTheme="minorEastAsia"/>
          <w:bCs/>
          <w:sz w:val="28"/>
          <w:szCs w:val="28"/>
        </w:rPr>
        <w:t>现场踏勘或参加标前答疑会的费用自行承担，现场踏勘期间发生的人身伤害及财产损失自行负责。</w:t>
      </w:r>
    </w:p>
    <w:p>
      <w:pPr>
        <w:adjustRightInd w:val="0"/>
        <w:snapToGrid w:val="0"/>
        <w:spacing w:line="560" w:lineRule="exact"/>
        <w:ind w:firstLine="560" w:firstLineChars="200"/>
        <w:jc w:val="left"/>
        <w:rPr>
          <w:rFonts w:asciiTheme="minorEastAsia" w:hAnsiTheme="minorEastAsia" w:eastAsiaTheme="minorEastAsia"/>
          <w:bCs/>
          <w:sz w:val="28"/>
          <w:szCs w:val="28"/>
        </w:rPr>
      </w:pPr>
      <w:r>
        <w:rPr>
          <w:rFonts w:asciiTheme="minorEastAsia" w:hAnsiTheme="minorEastAsia" w:eastAsiaTheme="minorEastAsia"/>
          <w:bCs/>
          <w:sz w:val="28"/>
          <w:szCs w:val="28"/>
        </w:rPr>
        <w:t>7.4采购机构不对</w:t>
      </w:r>
      <w:r>
        <w:rPr>
          <w:rFonts w:hint="eastAsia" w:asciiTheme="minorEastAsia" w:hAnsiTheme="minorEastAsia" w:eastAsiaTheme="minorEastAsia"/>
          <w:bCs/>
          <w:sz w:val="28"/>
          <w:szCs w:val="28"/>
        </w:rPr>
        <w:t>谈判文件或最终书面答复之外，报价供应商自行得出的推论、理解和结论</w:t>
      </w:r>
      <w:r>
        <w:rPr>
          <w:rFonts w:asciiTheme="minorEastAsia" w:hAnsiTheme="minorEastAsia" w:eastAsiaTheme="minorEastAsia"/>
          <w:bCs/>
          <w:sz w:val="28"/>
          <w:szCs w:val="28"/>
        </w:rPr>
        <w:t>负责。</w:t>
      </w:r>
      <w:r>
        <w:rPr>
          <w:rFonts w:hint="eastAsia" w:asciiTheme="minorEastAsia" w:hAnsiTheme="minorEastAsia" w:eastAsiaTheme="minorEastAsia"/>
          <w:bCs/>
          <w:sz w:val="28"/>
          <w:szCs w:val="28"/>
        </w:rPr>
        <w:t>报价</w:t>
      </w:r>
      <w:r>
        <w:rPr>
          <w:rFonts w:asciiTheme="minorEastAsia" w:hAnsiTheme="minorEastAsia" w:eastAsiaTheme="minorEastAsia"/>
          <w:bCs/>
          <w:sz w:val="28"/>
          <w:szCs w:val="28"/>
        </w:rPr>
        <w:t>供应商</w:t>
      </w:r>
      <w:r>
        <w:rPr>
          <w:rFonts w:hint="eastAsia"/>
          <w:bCs/>
          <w:sz w:val="28"/>
          <w:szCs w:val="28"/>
        </w:rPr>
        <w:t>未参加现场踏勘或标前答疑会的，</w:t>
      </w:r>
      <w:r>
        <w:rPr>
          <w:rFonts w:asciiTheme="minorEastAsia" w:hAnsiTheme="minorEastAsia" w:eastAsiaTheme="minorEastAsia"/>
          <w:bCs/>
          <w:sz w:val="28"/>
          <w:szCs w:val="28"/>
        </w:rPr>
        <w:t>一旦成交，不得以任何借口，提出额外补偿或延长合同期限</w:t>
      </w:r>
      <w:r>
        <w:rPr>
          <w:rFonts w:hint="eastAsia" w:asciiTheme="minorEastAsia" w:hAnsiTheme="minorEastAsia" w:eastAsiaTheme="minorEastAsia"/>
          <w:bCs/>
          <w:sz w:val="28"/>
          <w:szCs w:val="28"/>
        </w:rPr>
        <w:t>等不合理</w:t>
      </w:r>
      <w:r>
        <w:rPr>
          <w:rFonts w:asciiTheme="minorEastAsia" w:hAnsiTheme="minorEastAsia" w:eastAsiaTheme="minorEastAsia"/>
          <w:bCs/>
          <w:sz w:val="28"/>
          <w:szCs w:val="28"/>
        </w:rPr>
        <w:t>要求。</w:t>
      </w:r>
    </w:p>
    <w:p>
      <w:pPr>
        <w:pStyle w:val="6"/>
        <w:keepNext w:val="0"/>
        <w:keepLines w:val="0"/>
        <w:adjustRightInd w:val="0"/>
        <w:snapToGrid w:val="0"/>
        <w:spacing w:before="0" w:after="0" w:line="560" w:lineRule="exact"/>
        <w:ind w:firstLine="560" w:firstLineChars="200"/>
        <w:rPr>
          <w:rFonts w:ascii="黑体" w:hAnsi="黑体"/>
          <w:b w:val="0"/>
        </w:rPr>
      </w:pPr>
      <w:bookmarkStart w:id="75" w:name="_Toc15396"/>
      <w:bookmarkStart w:id="76" w:name="_Toc12217"/>
      <w:bookmarkStart w:id="77" w:name="_Toc6659"/>
      <w:bookmarkStart w:id="78" w:name="_Toc112768387"/>
      <w:bookmarkStart w:id="79" w:name="_Toc11383"/>
      <w:bookmarkStart w:id="80" w:name="_Toc23752"/>
      <w:r>
        <w:rPr>
          <w:rFonts w:ascii="黑体" w:hAnsi="黑体"/>
          <w:b w:val="0"/>
        </w:rPr>
        <w:t>8.</w:t>
      </w:r>
      <w:r>
        <w:rPr>
          <w:rFonts w:hint="eastAsia" w:ascii="黑体" w:hAnsi="黑体"/>
          <w:b w:val="0"/>
        </w:rPr>
        <w:t>信息发布及媒体</w:t>
      </w:r>
      <w:bookmarkEnd w:id="75"/>
      <w:bookmarkEnd w:id="76"/>
      <w:bookmarkEnd w:id="77"/>
      <w:bookmarkEnd w:id="78"/>
      <w:bookmarkEnd w:id="79"/>
      <w:bookmarkEnd w:id="80"/>
    </w:p>
    <w:p>
      <w:pPr>
        <w:adjustRightInd w:val="0"/>
        <w:snapToGrid w:val="0"/>
        <w:spacing w:line="560" w:lineRule="exact"/>
        <w:ind w:firstLine="560" w:firstLineChars="200"/>
        <w:rPr>
          <w:rFonts w:asciiTheme="minorEastAsia" w:hAnsiTheme="minorEastAsia" w:eastAsiaTheme="minorEastAsia"/>
          <w:bCs/>
          <w:sz w:val="28"/>
          <w:szCs w:val="28"/>
        </w:rPr>
      </w:pPr>
      <w:r>
        <w:rPr>
          <w:rFonts w:ascii="宋体" w:hAnsi="宋体"/>
          <w:bCs/>
          <w:snapToGrid w:val="0"/>
          <w:sz w:val="28"/>
          <w:szCs w:val="28"/>
        </w:rPr>
        <w:t>8.1</w:t>
      </w:r>
      <w:r>
        <w:rPr>
          <w:rFonts w:hint="eastAsia" w:ascii="宋体" w:hAnsi="宋体"/>
          <w:bCs/>
          <w:snapToGrid w:val="0"/>
          <w:sz w:val="28"/>
          <w:szCs w:val="28"/>
        </w:rPr>
        <w:t>报价</w:t>
      </w:r>
      <w:r>
        <w:rPr>
          <w:rFonts w:ascii="宋体" w:hAnsi="宋体"/>
          <w:bCs/>
          <w:snapToGrid w:val="0"/>
          <w:sz w:val="28"/>
          <w:szCs w:val="28"/>
        </w:rPr>
        <w:t>供应商参与采购活动期间，</w:t>
      </w:r>
      <w:r>
        <w:rPr>
          <w:rFonts w:hint="eastAsia" w:ascii="宋体" w:hAnsi="宋体"/>
          <w:bCs/>
          <w:snapToGrid w:val="0"/>
          <w:sz w:val="28"/>
          <w:szCs w:val="28"/>
        </w:rPr>
        <w:t>应当</w:t>
      </w:r>
      <w:r>
        <w:rPr>
          <w:rFonts w:ascii="宋体" w:hAnsi="宋体"/>
          <w:bCs/>
          <w:snapToGrid w:val="0"/>
          <w:sz w:val="28"/>
          <w:szCs w:val="28"/>
        </w:rPr>
        <w:t>及时关注</w:t>
      </w:r>
      <w:bookmarkStart w:id="81" w:name="_Hlk112497301"/>
      <w:r>
        <w:rPr>
          <w:rFonts w:hint="eastAsia" w:asciiTheme="minorEastAsia" w:hAnsiTheme="minorEastAsia" w:eastAsiaTheme="minorEastAsia"/>
          <w:bCs/>
          <w:sz w:val="28"/>
          <w:szCs w:val="28"/>
        </w:rPr>
        <w:t>【报价供应商须知前附表】明确的</w:t>
      </w:r>
      <w:r>
        <w:rPr>
          <w:rFonts w:ascii="宋体" w:hAnsi="宋体"/>
          <w:bCs/>
          <w:snapToGrid w:val="0"/>
          <w:sz w:val="28"/>
          <w:szCs w:val="28"/>
        </w:rPr>
        <w:t>媒体上</w:t>
      </w:r>
      <w:r>
        <w:rPr>
          <w:rFonts w:hint="eastAsia" w:ascii="宋体" w:hAnsi="宋体"/>
          <w:bCs/>
          <w:snapToGrid w:val="0"/>
          <w:sz w:val="28"/>
          <w:szCs w:val="28"/>
        </w:rPr>
        <w:t>发布</w:t>
      </w:r>
      <w:r>
        <w:rPr>
          <w:rFonts w:ascii="宋体" w:hAnsi="宋体"/>
          <w:bCs/>
          <w:snapToGrid w:val="0"/>
          <w:sz w:val="28"/>
          <w:szCs w:val="28"/>
        </w:rPr>
        <w:t>的</w:t>
      </w:r>
      <w:r>
        <w:rPr>
          <w:rFonts w:hint="eastAsia" w:ascii="宋体" w:hAnsi="宋体"/>
          <w:bCs/>
          <w:snapToGrid w:val="0"/>
          <w:sz w:val="28"/>
          <w:szCs w:val="28"/>
        </w:rPr>
        <w:t>项目</w:t>
      </w:r>
      <w:r>
        <w:rPr>
          <w:rFonts w:ascii="宋体" w:hAnsi="宋体"/>
          <w:bCs/>
          <w:snapToGrid w:val="0"/>
          <w:sz w:val="28"/>
          <w:szCs w:val="28"/>
        </w:rPr>
        <w:t>相关信息。</w:t>
      </w:r>
      <w:bookmarkEnd w:id="81"/>
    </w:p>
    <w:p>
      <w:pPr>
        <w:pStyle w:val="5"/>
        <w:keepNext w:val="0"/>
        <w:keepLines w:val="0"/>
        <w:adjustRightInd w:val="0"/>
        <w:snapToGrid w:val="0"/>
        <w:spacing w:before="120" w:beforeLines="50" w:after="120" w:afterLines="50" w:line="560" w:lineRule="exact"/>
        <w:jc w:val="center"/>
        <w:rPr>
          <w:b w:val="0"/>
        </w:rPr>
      </w:pPr>
      <w:bookmarkStart w:id="82" w:name="_Toc28813"/>
      <w:bookmarkStart w:id="83" w:name="_Toc112768388"/>
      <w:bookmarkStart w:id="84" w:name="_Toc16542"/>
      <w:bookmarkStart w:id="85" w:name="_Toc5629"/>
      <w:bookmarkStart w:id="86" w:name="_Toc24021"/>
      <w:bookmarkStart w:id="87" w:name="_Toc4202"/>
      <w:bookmarkStart w:id="88" w:name="_Toc132191223"/>
      <w:bookmarkStart w:id="89" w:name="_Toc25282"/>
      <w:r>
        <w:rPr>
          <w:rFonts w:hint="eastAsia"/>
          <w:b w:val="0"/>
        </w:rPr>
        <w:t>二、谈判文件</w:t>
      </w:r>
      <w:bookmarkEnd w:id="74"/>
      <w:bookmarkEnd w:id="82"/>
      <w:bookmarkEnd w:id="83"/>
      <w:bookmarkEnd w:id="84"/>
      <w:bookmarkEnd w:id="85"/>
      <w:bookmarkEnd w:id="86"/>
      <w:bookmarkEnd w:id="87"/>
      <w:r>
        <w:rPr>
          <w:rFonts w:hint="eastAsia"/>
          <w:b w:val="0"/>
        </w:rPr>
        <w:t>的内容及澄清与修改</w:t>
      </w:r>
      <w:bookmarkEnd w:id="88"/>
      <w:bookmarkEnd w:id="89"/>
    </w:p>
    <w:p>
      <w:pPr>
        <w:pStyle w:val="6"/>
        <w:keepNext w:val="0"/>
        <w:keepLines w:val="0"/>
        <w:adjustRightInd w:val="0"/>
        <w:snapToGrid w:val="0"/>
        <w:spacing w:before="0" w:after="0" w:line="560" w:lineRule="exact"/>
        <w:ind w:firstLine="560" w:firstLineChars="200"/>
        <w:rPr>
          <w:rFonts w:ascii="黑体" w:hAnsi="黑体"/>
          <w:b w:val="0"/>
        </w:rPr>
      </w:pPr>
      <w:bookmarkStart w:id="90" w:name="_Toc27158"/>
      <w:bookmarkStart w:id="91" w:name="_Toc6525"/>
      <w:bookmarkStart w:id="92" w:name="_Toc112768389"/>
      <w:bookmarkStart w:id="93" w:name="_Toc11679"/>
      <w:bookmarkStart w:id="94" w:name="_Toc30381"/>
      <w:bookmarkStart w:id="95" w:name="_Toc27937"/>
      <w:r>
        <w:rPr>
          <w:rFonts w:ascii="黑体" w:hAnsi="黑体"/>
          <w:b w:val="0"/>
        </w:rPr>
        <w:t>9.</w:t>
      </w:r>
      <w:r>
        <w:rPr>
          <w:rFonts w:hint="eastAsia" w:ascii="黑体" w:hAnsi="黑体"/>
          <w:b w:val="0"/>
        </w:rPr>
        <w:t>谈判文件的内容</w:t>
      </w:r>
      <w:bookmarkEnd w:id="90"/>
      <w:bookmarkEnd w:id="91"/>
      <w:bookmarkEnd w:id="92"/>
      <w:bookmarkEnd w:id="93"/>
      <w:bookmarkEnd w:id="94"/>
      <w:bookmarkEnd w:id="95"/>
    </w:p>
    <w:p>
      <w:pPr>
        <w:adjustRightInd w:val="0"/>
        <w:snapToGrid w:val="0"/>
        <w:spacing w:line="560" w:lineRule="exact"/>
        <w:ind w:firstLine="560" w:firstLineChars="200"/>
        <w:rPr>
          <w:rFonts w:ascii="宋体" w:hAnsi="宋体"/>
          <w:bCs/>
          <w:sz w:val="28"/>
          <w:szCs w:val="28"/>
          <w:lang w:val="zh-CN"/>
        </w:rPr>
      </w:pPr>
      <w:r>
        <w:rPr>
          <w:rFonts w:ascii="宋体" w:hAnsi="宋体"/>
          <w:bCs/>
          <w:snapToGrid w:val="0"/>
          <w:sz w:val="28"/>
          <w:szCs w:val="28"/>
          <w:lang w:val="zh-CN"/>
        </w:rPr>
        <w:t>9.1</w:t>
      </w:r>
      <w:r>
        <w:rPr>
          <w:rFonts w:hint="eastAsia" w:ascii="宋体" w:hAnsi="宋体"/>
          <w:bCs/>
          <w:sz w:val="28"/>
          <w:szCs w:val="28"/>
          <w:lang w:val="zh-CN"/>
        </w:rPr>
        <w:t>谈判文件由特别提示、通用文件和专用文件3部分组成，通用文件载明军队物资类竞争性谈判项目的一般性说明，专用文件载明本项目特定条件和要求。通用文件与专用文件内容不一致的，以专用文件为准。</w:t>
      </w:r>
    </w:p>
    <w:p>
      <w:pPr>
        <w:adjustRightInd w:val="0"/>
        <w:snapToGrid w:val="0"/>
        <w:spacing w:line="560" w:lineRule="exact"/>
        <w:ind w:firstLine="560" w:firstLineChars="200"/>
        <w:rPr>
          <w:rFonts w:ascii="宋体" w:hAnsi="宋体"/>
          <w:bCs/>
          <w:sz w:val="28"/>
          <w:szCs w:val="28"/>
          <w:lang w:val="zh-CN"/>
        </w:rPr>
      </w:pPr>
      <w:r>
        <w:rPr>
          <w:rFonts w:ascii="宋体" w:hAnsi="宋体"/>
          <w:bCs/>
          <w:snapToGrid w:val="0"/>
          <w:sz w:val="28"/>
          <w:szCs w:val="28"/>
          <w:lang w:val="zh-CN"/>
        </w:rPr>
        <w:t>9.2</w:t>
      </w:r>
      <w:r>
        <w:rPr>
          <w:rFonts w:hint="eastAsia" w:ascii="宋体" w:hAnsi="宋体"/>
          <w:bCs/>
          <w:sz w:val="28"/>
          <w:szCs w:val="28"/>
          <w:lang w:val="zh-CN"/>
        </w:rPr>
        <w:t xml:space="preserve"> 谈判文件</w:t>
      </w:r>
      <w:r>
        <w:rPr>
          <w:rFonts w:hint="eastAsia" w:ascii="宋体" w:hAnsi="宋体"/>
          <w:bCs/>
          <w:sz w:val="28"/>
          <w:szCs w:val="28"/>
        </w:rPr>
        <w:t>以中文编写。为便于报价供应商编制报价文件，采购机构可以向报价供应商提供电子版</w:t>
      </w:r>
      <w:r>
        <w:rPr>
          <w:rFonts w:hint="eastAsia" w:ascii="宋体" w:hAnsi="宋体"/>
          <w:bCs/>
          <w:sz w:val="28"/>
          <w:szCs w:val="28"/>
          <w:lang w:val="zh-CN"/>
        </w:rPr>
        <w:t>谈判文件</w:t>
      </w:r>
      <w:r>
        <w:rPr>
          <w:rFonts w:hint="eastAsia" w:ascii="宋体" w:hAnsi="宋体"/>
          <w:bCs/>
          <w:sz w:val="28"/>
          <w:szCs w:val="28"/>
        </w:rPr>
        <w:t>，纸质版与电子版</w:t>
      </w:r>
      <w:r>
        <w:rPr>
          <w:rFonts w:hint="eastAsia" w:ascii="宋体" w:hAnsi="宋体"/>
          <w:bCs/>
          <w:sz w:val="28"/>
          <w:szCs w:val="28"/>
          <w:lang w:val="zh-CN"/>
        </w:rPr>
        <w:t>谈判文件内容</w:t>
      </w:r>
      <w:r>
        <w:rPr>
          <w:rFonts w:hint="eastAsia" w:ascii="宋体" w:hAnsi="宋体"/>
          <w:bCs/>
          <w:sz w:val="28"/>
          <w:szCs w:val="28"/>
        </w:rPr>
        <w:t>不一致的，以纸质版为准。</w:t>
      </w:r>
    </w:p>
    <w:p>
      <w:pPr>
        <w:pStyle w:val="6"/>
        <w:keepNext w:val="0"/>
        <w:keepLines w:val="0"/>
        <w:adjustRightInd w:val="0"/>
        <w:snapToGrid w:val="0"/>
        <w:spacing w:before="0" w:after="0" w:line="560" w:lineRule="exact"/>
        <w:ind w:firstLine="560" w:firstLineChars="200"/>
        <w:rPr>
          <w:rFonts w:ascii="黑体" w:hAnsi="黑体"/>
          <w:b w:val="0"/>
        </w:rPr>
      </w:pPr>
      <w:bookmarkStart w:id="96" w:name="_Toc4535"/>
      <w:bookmarkStart w:id="97" w:name="_Toc46"/>
      <w:bookmarkStart w:id="98" w:name="_Toc112768390"/>
      <w:bookmarkStart w:id="99" w:name="_Toc18273"/>
      <w:bookmarkStart w:id="100" w:name="_Toc21246"/>
      <w:bookmarkStart w:id="101" w:name="_Toc23562"/>
      <w:r>
        <w:rPr>
          <w:rFonts w:ascii="黑体" w:hAnsi="黑体"/>
          <w:b w:val="0"/>
        </w:rPr>
        <w:t>10.</w:t>
      </w:r>
      <w:r>
        <w:rPr>
          <w:rFonts w:hint="eastAsia" w:ascii="黑体" w:hAnsi="黑体"/>
          <w:b w:val="0"/>
        </w:rPr>
        <w:t>谈判文件的澄清</w:t>
      </w:r>
      <w:bookmarkEnd w:id="96"/>
      <w:bookmarkEnd w:id="97"/>
      <w:bookmarkEnd w:id="98"/>
      <w:bookmarkEnd w:id="99"/>
      <w:bookmarkEnd w:id="100"/>
      <w:bookmarkEnd w:id="101"/>
      <w:r>
        <w:rPr>
          <w:rFonts w:hint="eastAsia" w:ascii="黑体" w:hAnsi="黑体"/>
          <w:b w:val="0"/>
        </w:rPr>
        <w:t>与修改</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10.1供应商对谈判文件如有疑问要求澄清，应当在</w:t>
      </w:r>
      <w:r>
        <w:rPr>
          <w:rFonts w:hint="eastAsia" w:asciiTheme="minorEastAsia" w:hAnsiTheme="minorEastAsia" w:eastAsiaTheme="minorEastAsia"/>
          <w:bCs/>
          <w:sz w:val="28"/>
          <w:szCs w:val="28"/>
        </w:rPr>
        <w:t>【报价供应商须知前附表】明确</w:t>
      </w:r>
      <w:r>
        <w:rPr>
          <w:rFonts w:hint="eastAsia" w:ascii="宋体" w:hAnsi="宋体"/>
          <w:bCs/>
          <w:snapToGrid w:val="0"/>
          <w:sz w:val="28"/>
          <w:szCs w:val="28"/>
          <w:lang w:val="zh-CN"/>
        </w:rPr>
        <w:t>的</w:t>
      </w:r>
      <w:r>
        <w:rPr>
          <w:rFonts w:hint="eastAsia" w:ascii="宋体" w:hAnsi="宋体" w:cs="宋体"/>
          <w:bCs/>
          <w:kern w:val="0"/>
          <w:sz w:val="28"/>
          <w:szCs w:val="28"/>
        </w:rPr>
        <w:t>提交首次报价文件截止之日</w:t>
      </w:r>
      <w:r>
        <w:rPr>
          <w:rFonts w:ascii="宋体" w:hAnsi="宋体" w:cs="宋体"/>
          <w:bCs/>
          <w:kern w:val="0"/>
          <w:sz w:val="28"/>
          <w:szCs w:val="28"/>
        </w:rPr>
        <w:t>3个工作日前</w:t>
      </w:r>
      <w:r>
        <w:rPr>
          <w:rFonts w:ascii="宋体" w:hAnsi="宋体"/>
          <w:bCs/>
          <w:sz w:val="28"/>
          <w:szCs w:val="28"/>
        </w:rPr>
        <w:t>以书面形式通知采购机构，采购机构视情以适当方式予以澄清。如有必要，在不标明问题来源情况下，采购机构可将答复内容以</w:t>
      </w:r>
      <w:r>
        <w:rPr>
          <w:rFonts w:hint="eastAsia" w:ascii="宋体" w:hAnsi="宋体"/>
          <w:bCs/>
          <w:sz w:val="28"/>
          <w:szCs w:val="28"/>
        </w:rPr>
        <w:t>公告或</w:t>
      </w:r>
      <w:r>
        <w:rPr>
          <w:rFonts w:ascii="宋体" w:hAnsi="宋体"/>
          <w:bCs/>
          <w:sz w:val="28"/>
          <w:szCs w:val="28"/>
        </w:rPr>
        <w:t>书面形式通知所有</w:t>
      </w:r>
      <w:r>
        <w:rPr>
          <w:rFonts w:hint="eastAsia" w:ascii="宋体" w:hAnsi="宋体"/>
          <w:bCs/>
          <w:sz w:val="28"/>
          <w:szCs w:val="28"/>
        </w:rPr>
        <w:t>已申领谈判文件的</w:t>
      </w:r>
      <w:r>
        <w:rPr>
          <w:rFonts w:ascii="宋体" w:hAnsi="宋体"/>
          <w:bCs/>
          <w:sz w:val="28"/>
          <w:szCs w:val="28"/>
        </w:rPr>
        <w:t>供应商。</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10.2提交首次</w:t>
      </w:r>
      <w:r>
        <w:rPr>
          <w:rFonts w:hint="eastAsia" w:ascii="宋体" w:hAnsi="宋体"/>
          <w:bCs/>
          <w:sz w:val="28"/>
          <w:szCs w:val="28"/>
        </w:rPr>
        <w:t>报价文件截止时间前，采购机构可以对已发出的谈判文件进行必要的澄清和修改。</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10.3澄清的内容不影响报价文件编制的，采购机构可以采取发布澄清公告或书面函告等形式通知所有已申领谈判文件的供应商。澄清的内容为谈判文件的组成部分。</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10.4澄清或修改的内容可能影响报价文件编制的，采购机构将在提交报价文件截止时间</w:t>
      </w:r>
      <w:r>
        <w:rPr>
          <w:rFonts w:ascii="宋体" w:hAnsi="宋体"/>
          <w:bCs/>
          <w:sz w:val="28"/>
          <w:szCs w:val="28"/>
        </w:rPr>
        <w:t>前</w:t>
      </w:r>
      <w:r>
        <w:rPr>
          <w:rFonts w:hint="eastAsia" w:ascii="宋体" w:hAnsi="宋体"/>
          <w:bCs/>
          <w:sz w:val="28"/>
          <w:szCs w:val="28"/>
        </w:rPr>
        <w:t>3个工作日，发布公告并且书面函告所有已申领谈判文件的供应商；不足3个工作日的，将相应顺延提交报价文件的截止时间。</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10.5</w:t>
      </w:r>
      <w:r>
        <w:rPr>
          <w:rFonts w:hint="eastAsia" w:ascii="宋体" w:hAnsi="宋体"/>
          <w:bCs/>
          <w:sz w:val="28"/>
          <w:szCs w:val="28"/>
        </w:rPr>
        <w:t>采购标的、关键技术参数、资格条件等内容需修改的，采购机构将重新发布竞争性谈判公告，并书面函告所有已申领谈判文件的供应商。</w:t>
      </w:r>
    </w:p>
    <w:p>
      <w:pPr>
        <w:pStyle w:val="5"/>
        <w:keepNext w:val="0"/>
        <w:keepLines w:val="0"/>
        <w:adjustRightInd w:val="0"/>
        <w:snapToGrid w:val="0"/>
        <w:spacing w:before="120" w:beforeLines="50" w:after="120" w:afterLines="50" w:line="560" w:lineRule="exact"/>
        <w:jc w:val="center"/>
        <w:rPr>
          <w:b w:val="0"/>
        </w:rPr>
      </w:pPr>
      <w:bookmarkStart w:id="102" w:name="_Toc112317769"/>
      <w:bookmarkStart w:id="103" w:name="_Toc12048"/>
      <w:bookmarkStart w:id="104" w:name="_Toc17046"/>
      <w:bookmarkStart w:id="105" w:name="_Toc2569"/>
      <w:bookmarkStart w:id="106" w:name="_Toc112768392"/>
      <w:bookmarkStart w:id="107" w:name="_Toc8610"/>
      <w:bookmarkStart w:id="108" w:name="_Toc20631"/>
      <w:bookmarkStart w:id="109" w:name="_Toc132191224"/>
      <w:bookmarkStart w:id="110" w:name="_Toc18897"/>
      <w:r>
        <w:rPr>
          <w:rFonts w:hint="eastAsia"/>
          <w:b w:val="0"/>
        </w:rPr>
        <w:t>三、</w:t>
      </w:r>
      <w:bookmarkEnd w:id="102"/>
      <w:r>
        <w:rPr>
          <w:rFonts w:hint="eastAsia"/>
          <w:b w:val="0"/>
        </w:rPr>
        <w:t>报价文件</w:t>
      </w:r>
      <w:bookmarkEnd w:id="103"/>
      <w:bookmarkEnd w:id="104"/>
      <w:bookmarkEnd w:id="105"/>
      <w:bookmarkEnd w:id="106"/>
      <w:bookmarkEnd w:id="107"/>
      <w:bookmarkEnd w:id="108"/>
      <w:r>
        <w:rPr>
          <w:rFonts w:hint="eastAsia"/>
          <w:b w:val="0"/>
        </w:rPr>
        <w:t>的基本要求</w:t>
      </w:r>
      <w:bookmarkEnd w:id="109"/>
      <w:bookmarkEnd w:id="110"/>
    </w:p>
    <w:p>
      <w:pPr>
        <w:pStyle w:val="6"/>
        <w:keepNext w:val="0"/>
        <w:keepLines w:val="0"/>
        <w:adjustRightInd w:val="0"/>
        <w:snapToGrid w:val="0"/>
        <w:spacing w:before="0" w:after="0" w:line="560" w:lineRule="exact"/>
        <w:ind w:firstLine="560" w:firstLineChars="200"/>
        <w:rPr>
          <w:rFonts w:ascii="黑体" w:hAnsi="黑体"/>
          <w:b w:val="0"/>
        </w:rPr>
      </w:pPr>
      <w:bookmarkStart w:id="111" w:name="_Toc2811"/>
      <w:bookmarkStart w:id="112" w:name="_Toc11577"/>
      <w:bookmarkStart w:id="113" w:name="_Toc15288"/>
      <w:bookmarkStart w:id="114" w:name="_Toc22222"/>
      <w:bookmarkStart w:id="115" w:name="_Toc112768393"/>
      <w:bookmarkStart w:id="116" w:name="_Toc18494"/>
      <w:r>
        <w:rPr>
          <w:rFonts w:ascii="黑体" w:hAnsi="黑体"/>
          <w:b w:val="0"/>
        </w:rPr>
        <w:t>11.</w:t>
      </w:r>
      <w:r>
        <w:rPr>
          <w:rFonts w:hint="eastAsia" w:ascii="黑体" w:hAnsi="黑体"/>
          <w:b w:val="0"/>
        </w:rPr>
        <w:t>编制要求</w:t>
      </w:r>
      <w:bookmarkEnd w:id="111"/>
      <w:bookmarkEnd w:id="112"/>
      <w:bookmarkEnd w:id="113"/>
      <w:bookmarkEnd w:id="114"/>
      <w:bookmarkEnd w:id="115"/>
      <w:bookmarkEnd w:id="116"/>
    </w:p>
    <w:p>
      <w:pPr>
        <w:autoSpaceDE w:val="0"/>
        <w:autoSpaceDN w:val="0"/>
        <w:adjustRightInd w:val="0"/>
        <w:snapToGrid w:val="0"/>
        <w:spacing w:line="560" w:lineRule="exact"/>
        <w:ind w:firstLine="560" w:firstLineChars="200"/>
        <w:rPr>
          <w:rFonts w:asciiTheme="minorEastAsia" w:hAnsiTheme="minorEastAsia" w:eastAsiaTheme="minorEastAsia"/>
          <w:bCs/>
          <w:sz w:val="28"/>
          <w:szCs w:val="28"/>
        </w:rPr>
      </w:pPr>
      <w:r>
        <w:rPr>
          <w:rFonts w:ascii="宋体" w:hAnsi="宋体"/>
          <w:bCs/>
          <w:snapToGrid w:val="0"/>
          <w:sz w:val="28"/>
          <w:szCs w:val="28"/>
          <w:lang w:val="zh-CN"/>
        </w:rPr>
        <w:t>11.1</w:t>
      </w:r>
      <w:r>
        <w:rPr>
          <w:rFonts w:hint="eastAsia" w:ascii="宋体" w:hAnsi="宋体"/>
          <w:bCs/>
          <w:snapToGrid w:val="0"/>
          <w:sz w:val="28"/>
          <w:szCs w:val="28"/>
          <w:lang w:val="zh-CN"/>
        </w:rPr>
        <w:t>报价</w:t>
      </w:r>
      <w:r>
        <w:rPr>
          <w:rFonts w:hint="eastAsia" w:asciiTheme="minorEastAsia" w:hAnsiTheme="minorEastAsia" w:eastAsiaTheme="minorEastAsia"/>
          <w:bCs/>
          <w:snapToGrid w:val="0"/>
          <w:sz w:val="28"/>
          <w:szCs w:val="28"/>
          <w:lang w:val="zh-CN"/>
        </w:rPr>
        <w:t>供应商</w:t>
      </w:r>
      <w:r>
        <w:rPr>
          <w:rFonts w:hint="eastAsia" w:asciiTheme="minorEastAsia" w:hAnsiTheme="minorEastAsia" w:eastAsiaTheme="minorEastAsia"/>
          <w:bCs/>
          <w:snapToGrid w:val="0"/>
          <w:sz w:val="28"/>
          <w:szCs w:val="28"/>
        </w:rPr>
        <w:t>应当仔细阅读谈判文件，在完全了解全部内容后，依法真实编制报价文件。</w:t>
      </w:r>
    </w:p>
    <w:p>
      <w:pPr>
        <w:pStyle w:val="6"/>
        <w:keepNext w:val="0"/>
        <w:keepLines w:val="0"/>
        <w:adjustRightInd w:val="0"/>
        <w:snapToGrid w:val="0"/>
        <w:spacing w:before="0" w:after="0" w:line="560" w:lineRule="exact"/>
        <w:ind w:firstLine="560" w:firstLineChars="200"/>
        <w:rPr>
          <w:rFonts w:ascii="黑体" w:hAnsi="黑体"/>
          <w:b w:val="0"/>
        </w:rPr>
      </w:pPr>
      <w:bookmarkStart w:id="117" w:name="_Toc1531"/>
      <w:bookmarkStart w:id="118" w:name="_Toc20054"/>
      <w:bookmarkStart w:id="119" w:name="_Toc29333"/>
      <w:bookmarkStart w:id="120" w:name="_Toc112768394"/>
      <w:bookmarkStart w:id="121" w:name="_Toc16818"/>
      <w:bookmarkStart w:id="122" w:name="_Toc17826"/>
      <w:r>
        <w:rPr>
          <w:rFonts w:ascii="黑体" w:hAnsi="黑体"/>
          <w:b w:val="0"/>
        </w:rPr>
        <w:t>12.</w:t>
      </w:r>
      <w:r>
        <w:rPr>
          <w:rFonts w:hint="eastAsia" w:ascii="黑体" w:hAnsi="黑体"/>
          <w:b w:val="0"/>
        </w:rPr>
        <w:t>报价文件的语言及计量单位</w:t>
      </w:r>
      <w:bookmarkEnd w:id="117"/>
      <w:bookmarkEnd w:id="118"/>
      <w:bookmarkEnd w:id="119"/>
      <w:bookmarkEnd w:id="120"/>
      <w:bookmarkEnd w:id="121"/>
      <w:bookmarkEnd w:id="122"/>
    </w:p>
    <w:p>
      <w:pPr>
        <w:adjustRightInd w:val="0"/>
        <w:snapToGrid w:val="0"/>
        <w:spacing w:line="560" w:lineRule="exact"/>
        <w:ind w:firstLine="560" w:firstLineChars="200"/>
        <w:rPr>
          <w:rFonts w:ascii="宋体" w:hAnsi="宋体"/>
          <w:bCs/>
          <w:sz w:val="28"/>
          <w:szCs w:val="28"/>
        </w:rPr>
      </w:pPr>
      <w:r>
        <w:rPr>
          <w:rFonts w:ascii="宋体" w:hAnsi="宋体"/>
          <w:bCs/>
          <w:sz w:val="28"/>
          <w:szCs w:val="28"/>
          <w:lang w:val="zh-CN"/>
        </w:rPr>
        <w:t>12.1报价文件和</w:t>
      </w:r>
      <w:r>
        <w:rPr>
          <w:rFonts w:hint="eastAsia" w:ascii="宋体" w:hAnsi="宋体"/>
          <w:bCs/>
          <w:sz w:val="28"/>
          <w:szCs w:val="28"/>
          <w:lang w:val="zh-CN"/>
        </w:rPr>
        <w:t>报价</w:t>
      </w:r>
      <w:r>
        <w:rPr>
          <w:rFonts w:hint="eastAsia"/>
          <w:bCs/>
          <w:snapToGrid w:val="0"/>
          <w:sz w:val="28"/>
          <w:szCs w:val="28"/>
          <w:lang w:val="zh-CN"/>
        </w:rPr>
        <w:t>供应商与采购机构就有关谈判的</w:t>
      </w:r>
      <w:r>
        <w:rPr>
          <w:rFonts w:ascii="宋体" w:hAnsi="宋体"/>
          <w:bCs/>
          <w:sz w:val="28"/>
          <w:szCs w:val="28"/>
          <w:lang w:val="zh-CN"/>
        </w:rPr>
        <w:t>来往信函均以中文书写。确有需要时，</w:t>
      </w:r>
      <w:r>
        <w:rPr>
          <w:rFonts w:hint="eastAsia" w:ascii="宋体" w:hAnsi="宋体"/>
          <w:bCs/>
          <w:sz w:val="28"/>
          <w:szCs w:val="28"/>
          <w:lang w:val="zh-CN"/>
        </w:rPr>
        <w:t>可以提供</w:t>
      </w:r>
      <w:r>
        <w:rPr>
          <w:rFonts w:ascii="宋体" w:hAnsi="宋体"/>
          <w:bCs/>
          <w:sz w:val="28"/>
          <w:szCs w:val="28"/>
          <w:lang w:val="zh-CN"/>
        </w:rPr>
        <w:t>使用其他语言书写</w:t>
      </w:r>
      <w:r>
        <w:rPr>
          <w:rFonts w:hint="eastAsia" w:ascii="宋体" w:hAnsi="宋体"/>
          <w:bCs/>
          <w:sz w:val="28"/>
          <w:szCs w:val="28"/>
          <w:lang w:val="zh-CN"/>
        </w:rPr>
        <w:t>的相关材料</w:t>
      </w:r>
      <w:r>
        <w:rPr>
          <w:rFonts w:ascii="宋体" w:hAnsi="宋体"/>
          <w:bCs/>
          <w:sz w:val="28"/>
          <w:szCs w:val="28"/>
          <w:lang w:val="zh-CN"/>
        </w:rPr>
        <w:t>，但</w:t>
      </w:r>
      <w:bookmarkStart w:id="123" w:name="_Hlk130370619"/>
      <w:r>
        <w:rPr>
          <w:rFonts w:hint="eastAsia" w:ascii="黑体" w:hAnsi="黑体" w:eastAsia="黑体"/>
          <w:bCs/>
          <w:sz w:val="28"/>
          <w:szCs w:val="28"/>
          <w:lang w:val="zh-CN"/>
        </w:rPr>
        <w:t>应当</w:t>
      </w:r>
      <w:bookmarkEnd w:id="123"/>
      <w:r>
        <w:rPr>
          <w:rFonts w:ascii="黑体" w:hAnsi="黑体" w:eastAsia="黑体"/>
          <w:bCs/>
          <w:sz w:val="28"/>
          <w:szCs w:val="28"/>
          <w:lang w:val="zh-CN"/>
        </w:rPr>
        <w:t>同时提供</w:t>
      </w:r>
      <w:r>
        <w:rPr>
          <w:rFonts w:hint="eastAsia" w:ascii="黑体" w:hAnsi="黑体" w:eastAsia="黑体"/>
          <w:bCs/>
          <w:sz w:val="28"/>
          <w:szCs w:val="28"/>
          <w:lang w:val="zh-CN"/>
        </w:rPr>
        <w:t>能够准确表达原文原意的</w:t>
      </w:r>
      <w:r>
        <w:rPr>
          <w:rFonts w:ascii="黑体" w:hAnsi="黑体" w:eastAsia="黑体"/>
          <w:bCs/>
          <w:sz w:val="28"/>
          <w:szCs w:val="28"/>
          <w:lang w:val="zh-CN"/>
        </w:rPr>
        <w:t>中文译文</w:t>
      </w:r>
      <w:r>
        <w:rPr>
          <w:rFonts w:ascii="宋体" w:hAnsi="宋体"/>
          <w:bCs/>
          <w:sz w:val="28"/>
          <w:szCs w:val="28"/>
          <w:lang w:val="zh-CN"/>
        </w:rPr>
        <w:t>，</w:t>
      </w:r>
      <w:r>
        <w:rPr>
          <w:rFonts w:hint="eastAsia" w:ascii="宋体" w:hAnsi="宋体"/>
          <w:bCs/>
          <w:sz w:val="28"/>
          <w:szCs w:val="28"/>
          <w:lang w:val="zh-CN"/>
        </w:rPr>
        <w:t>原文与中文译文</w:t>
      </w:r>
      <w:r>
        <w:rPr>
          <w:rFonts w:ascii="宋体" w:hAnsi="宋体"/>
          <w:bCs/>
          <w:sz w:val="28"/>
          <w:szCs w:val="28"/>
          <w:lang w:val="zh-CN"/>
        </w:rPr>
        <w:t>的解释发生异议的</w:t>
      </w:r>
      <w:r>
        <w:rPr>
          <w:rFonts w:hint="eastAsia" w:ascii="宋体" w:hAnsi="宋体"/>
          <w:bCs/>
          <w:sz w:val="28"/>
          <w:szCs w:val="28"/>
          <w:lang w:val="zh-CN"/>
        </w:rPr>
        <w:t>，一般以中文译文为准；采购机构或评审委员会认为属于明显翻译错误的，以原文为准。</w:t>
      </w:r>
      <w:r>
        <w:rPr>
          <w:rFonts w:hint="eastAsia" w:ascii="宋体" w:hAnsi="宋体"/>
          <w:bCs/>
          <w:sz w:val="28"/>
          <w:szCs w:val="28"/>
        </w:rPr>
        <w:t>未提供中文译文的，该文本无效。</w:t>
      </w:r>
    </w:p>
    <w:p>
      <w:pPr>
        <w:adjustRightInd w:val="0"/>
        <w:snapToGrid w:val="0"/>
        <w:spacing w:line="560" w:lineRule="exact"/>
        <w:ind w:firstLine="560" w:firstLineChars="200"/>
        <w:rPr>
          <w:rFonts w:ascii="宋体" w:hAnsi="宋体"/>
          <w:bCs/>
          <w:sz w:val="28"/>
          <w:szCs w:val="28"/>
        </w:rPr>
      </w:pPr>
      <w:r>
        <w:rPr>
          <w:rFonts w:ascii="宋体" w:hAnsi="宋体"/>
          <w:bCs/>
          <w:sz w:val="28"/>
          <w:szCs w:val="28"/>
          <w:lang w:val="zh-CN"/>
        </w:rPr>
        <w:t>12.2报价文件中所使用的计量单位，除报价文件中有特殊要求外，均采用</w:t>
      </w:r>
      <w:r>
        <w:rPr>
          <w:rFonts w:hint="eastAsia" w:ascii="宋体" w:hAnsi="宋体"/>
          <w:bCs/>
          <w:sz w:val="28"/>
          <w:szCs w:val="28"/>
          <w:lang w:val="zh-CN"/>
        </w:rPr>
        <w:t>中华人民共和国</w:t>
      </w:r>
      <w:r>
        <w:rPr>
          <w:rFonts w:ascii="宋体" w:hAnsi="宋体"/>
          <w:bCs/>
          <w:sz w:val="28"/>
          <w:szCs w:val="28"/>
          <w:lang w:val="zh-CN"/>
        </w:rPr>
        <w:t>法定计量单位</w:t>
      </w:r>
      <w:r>
        <w:rPr>
          <w:rFonts w:ascii="宋体" w:hAnsi="宋体"/>
          <w:bCs/>
          <w:sz w:val="28"/>
          <w:szCs w:val="28"/>
        </w:rPr>
        <w:t>。</w:t>
      </w:r>
    </w:p>
    <w:p>
      <w:pPr>
        <w:pStyle w:val="6"/>
        <w:keepNext w:val="0"/>
        <w:keepLines w:val="0"/>
        <w:adjustRightInd w:val="0"/>
        <w:snapToGrid w:val="0"/>
        <w:spacing w:before="0" w:after="0" w:line="560" w:lineRule="exact"/>
        <w:ind w:firstLine="560" w:firstLineChars="200"/>
        <w:rPr>
          <w:rFonts w:ascii="黑体" w:hAnsi="黑体"/>
          <w:b w:val="0"/>
        </w:rPr>
      </w:pPr>
      <w:bookmarkStart w:id="124" w:name="_Toc13989"/>
      <w:bookmarkStart w:id="125" w:name="_Toc6931"/>
      <w:bookmarkStart w:id="126" w:name="_Toc112768395"/>
      <w:bookmarkStart w:id="127" w:name="_Toc14489"/>
      <w:bookmarkStart w:id="128" w:name="_Toc9632"/>
      <w:bookmarkStart w:id="129" w:name="_Toc14297"/>
      <w:r>
        <w:rPr>
          <w:rFonts w:ascii="黑体" w:hAnsi="黑体"/>
          <w:b w:val="0"/>
        </w:rPr>
        <w:t>13.</w:t>
      </w:r>
      <w:r>
        <w:rPr>
          <w:rFonts w:hint="eastAsia" w:ascii="黑体" w:hAnsi="黑体"/>
          <w:b w:val="0"/>
        </w:rPr>
        <w:t>报价文件组成</w:t>
      </w:r>
      <w:bookmarkEnd w:id="124"/>
      <w:bookmarkEnd w:id="125"/>
      <w:bookmarkEnd w:id="126"/>
      <w:bookmarkEnd w:id="127"/>
      <w:bookmarkEnd w:id="128"/>
      <w:bookmarkEnd w:id="129"/>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13.1</w:t>
      </w:r>
      <w:r>
        <w:rPr>
          <w:rFonts w:hint="eastAsia" w:ascii="宋体" w:hAnsi="宋体"/>
          <w:bCs/>
          <w:sz w:val="28"/>
          <w:szCs w:val="28"/>
        </w:rPr>
        <w:t>报价文件一般由</w:t>
      </w:r>
      <w:bookmarkStart w:id="130" w:name="_Hlk112504983"/>
      <w:r>
        <w:rPr>
          <w:rFonts w:hint="eastAsia" w:ascii="黑体" w:hAnsi="黑体" w:eastAsia="黑体"/>
          <w:bCs/>
          <w:sz w:val="28"/>
          <w:szCs w:val="28"/>
        </w:rPr>
        <w:t>价格文件、</w:t>
      </w:r>
      <w:bookmarkStart w:id="131" w:name="_Hlk112353436"/>
      <w:r>
        <w:rPr>
          <w:rFonts w:hint="eastAsia" w:ascii="黑体" w:hAnsi="黑体" w:eastAsia="黑体"/>
          <w:bCs/>
          <w:sz w:val="28"/>
          <w:szCs w:val="28"/>
        </w:rPr>
        <w:t>商务技术</w:t>
      </w:r>
      <w:bookmarkEnd w:id="131"/>
      <w:r>
        <w:rPr>
          <w:rFonts w:hint="eastAsia" w:ascii="黑体" w:hAnsi="黑体" w:eastAsia="黑体"/>
          <w:bCs/>
          <w:sz w:val="28"/>
          <w:szCs w:val="28"/>
        </w:rPr>
        <w:t>文件、资格证明文件</w:t>
      </w:r>
      <w:r>
        <w:rPr>
          <w:rFonts w:hint="eastAsia" w:ascii="宋体" w:hAnsi="宋体"/>
          <w:bCs/>
          <w:sz w:val="28"/>
          <w:szCs w:val="28"/>
        </w:rPr>
        <w:t>三部分组成。每部分应当分别编制目录，具体要求详见第三章报价</w:t>
      </w:r>
      <w:r>
        <w:rPr>
          <w:rFonts w:ascii="宋体" w:hAnsi="宋体"/>
          <w:bCs/>
          <w:sz w:val="28"/>
          <w:szCs w:val="28"/>
        </w:rPr>
        <w:t>文件内容及格式</w:t>
      </w:r>
      <w:r>
        <w:rPr>
          <w:rFonts w:hint="eastAsia" w:ascii="宋体" w:hAnsi="宋体"/>
          <w:bCs/>
          <w:sz w:val="28"/>
          <w:szCs w:val="28"/>
        </w:rPr>
        <w:t>。</w:t>
      </w:r>
    </w:p>
    <w:bookmarkEnd w:id="130"/>
    <w:p>
      <w:pPr>
        <w:pStyle w:val="6"/>
        <w:keepNext w:val="0"/>
        <w:keepLines w:val="0"/>
        <w:adjustRightInd w:val="0"/>
        <w:snapToGrid w:val="0"/>
        <w:spacing w:before="0" w:after="0" w:line="560" w:lineRule="exact"/>
        <w:ind w:firstLine="560" w:firstLineChars="200"/>
        <w:rPr>
          <w:rFonts w:ascii="黑体" w:hAnsi="黑体"/>
          <w:b w:val="0"/>
        </w:rPr>
      </w:pPr>
      <w:bookmarkStart w:id="132" w:name="_Toc112768396"/>
      <w:bookmarkStart w:id="133" w:name="_Toc21338"/>
      <w:bookmarkStart w:id="134" w:name="_Toc3619"/>
      <w:bookmarkStart w:id="135" w:name="_Toc97"/>
      <w:bookmarkStart w:id="136" w:name="_Toc31820"/>
      <w:bookmarkStart w:id="137" w:name="_Toc11551"/>
      <w:r>
        <w:rPr>
          <w:rFonts w:ascii="黑体" w:hAnsi="黑体"/>
          <w:b w:val="0"/>
        </w:rPr>
        <w:t>14.</w:t>
      </w:r>
      <w:r>
        <w:rPr>
          <w:rFonts w:hint="eastAsia" w:ascii="黑体" w:hAnsi="黑体"/>
          <w:b w:val="0"/>
        </w:rPr>
        <w:t>报价文件的编制</w:t>
      </w:r>
      <w:bookmarkEnd w:id="132"/>
      <w:bookmarkEnd w:id="133"/>
      <w:bookmarkEnd w:id="134"/>
      <w:bookmarkEnd w:id="135"/>
      <w:bookmarkEnd w:id="136"/>
      <w:bookmarkEnd w:id="137"/>
    </w:p>
    <w:p>
      <w:pPr>
        <w:adjustRightInd w:val="0"/>
        <w:snapToGrid w:val="0"/>
        <w:spacing w:line="560" w:lineRule="exact"/>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14.1</w:t>
      </w:r>
      <w:r>
        <w:rPr>
          <w:rFonts w:hint="eastAsia" w:asciiTheme="minorEastAsia" w:hAnsiTheme="minorEastAsia" w:eastAsiaTheme="minorEastAsia"/>
          <w:bCs/>
          <w:sz w:val="28"/>
          <w:szCs w:val="28"/>
        </w:rPr>
        <w:t>报价供应商应当按谈判文件第</w:t>
      </w:r>
      <w:r>
        <w:rPr>
          <w:rFonts w:asciiTheme="minorEastAsia" w:hAnsiTheme="minorEastAsia" w:eastAsiaTheme="minorEastAsia"/>
          <w:bCs/>
          <w:sz w:val="28"/>
          <w:szCs w:val="28"/>
        </w:rPr>
        <w:t>1</w:t>
      </w:r>
      <w:r>
        <w:rPr>
          <w:rFonts w:hint="eastAsia" w:asciiTheme="minorEastAsia" w:hAnsiTheme="minorEastAsia" w:eastAsiaTheme="minorEastAsia"/>
          <w:bCs/>
          <w:sz w:val="28"/>
          <w:szCs w:val="28"/>
        </w:rPr>
        <w:t>3</w:t>
      </w:r>
      <w:r>
        <w:rPr>
          <w:rFonts w:asciiTheme="minorEastAsia" w:hAnsiTheme="minorEastAsia" w:eastAsiaTheme="minorEastAsia"/>
          <w:bCs/>
          <w:sz w:val="28"/>
          <w:szCs w:val="28"/>
        </w:rPr>
        <w:t>.1</w:t>
      </w:r>
      <w:r>
        <w:rPr>
          <w:rFonts w:hint="eastAsia" w:asciiTheme="minorEastAsia" w:hAnsiTheme="minorEastAsia" w:eastAsiaTheme="minorEastAsia"/>
          <w:bCs/>
          <w:sz w:val="28"/>
          <w:szCs w:val="28"/>
        </w:rPr>
        <w:t>条的内容与要求和第三章明确的格式编制报价文件。</w:t>
      </w:r>
      <w:r>
        <w:rPr>
          <w:rFonts w:asciiTheme="minorEastAsia" w:hAnsiTheme="minorEastAsia" w:eastAsiaTheme="minorEastAsia"/>
          <w:bCs/>
          <w:sz w:val="28"/>
          <w:szCs w:val="28"/>
        </w:rPr>
        <w:t xml:space="preserve"> </w:t>
      </w:r>
    </w:p>
    <w:p>
      <w:pPr>
        <w:spacing w:line="560" w:lineRule="exact"/>
        <w:ind w:firstLine="560" w:firstLineChars="200"/>
        <w:rPr>
          <w:rFonts w:ascii="宋体" w:hAnsi="宋体"/>
          <w:sz w:val="28"/>
          <w:szCs w:val="28"/>
        </w:rPr>
      </w:pPr>
      <w:r>
        <w:rPr>
          <w:rFonts w:ascii="宋体" w:hAnsi="宋体"/>
          <w:sz w:val="28"/>
          <w:szCs w:val="28"/>
        </w:rPr>
        <w:t>14.2</w:t>
      </w:r>
      <w:r>
        <w:rPr>
          <w:rFonts w:hint="eastAsia" w:ascii="宋体" w:hAnsi="宋体"/>
          <w:sz w:val="28"/>
          <w:szCs w:val="28"/>
        </w:rPr>
        <w:t>报价</w:t>
      </w:r>
      <w:r>
        <w:rPr>
          <w:rFonts w:ascii="宋体" w:hAnsi="宋体"/>
          <w:sz w:val="28"/>
          <w:szCs w:val="28"/>
        </w:rPr>
        <w:t>文件</w:t>
      </w:r>
      <w:r>
        <w:rPr>
          <w:rFonts w:hint="eastAsia" w:ascii="宋体" w:hAnsi="宋体"/>
          <w:sz w:val="28"/>
          <w:szCs w:val="28"/>
        </w:rPr>
        <w:t>应当</w:t>
      </w:r>
      <w:r>
        <w:rPr>
          <w:rFonts w:ascii="宋体" w:hAnsi="宋体"/>
          <w:sz w:val="28"/>
          <w:szCs w:val="28"/>
        </w:rPr>
        <w:t>工整、规范、统一、清晰，采用A4幅面纸</w:t>
      </w:r>
      <w:r>
        <w:rPr>
          <w:rFonts w:hint="eastAsia" w:ascii="宋体" w:hAnsi="宋体"/>
          <w:sz w:val="28"/>
          <w:szCs w:val="28"/>
        </w:rPr>
        <w:t>打印，页面不可抽取，不得有活页。商务技术文件和资格证明文件</w:t>
      </w:r>
      <w:r>
        <w:rPr>
          <w:rFonts w:hint="eastAsia" w:ascii="宋体" w:hAnsi="宋体"/>
          <w:bCs/>
          <w:sz w:val="28"/>
          <w:szCs w:val="28"/>
          <w:lang w:val="zh-CN"/>
        </w:rPr>
        <w:t>应当</w:t>
      </w:r>
      <w:r>
        <w:rPr>
          <w:rFonts w:ascii="宋体" w:hAnsi="宋体"/>
          <w:sz w:val="28"/>
          <w:szCs w:val="28"/>
        </w:rPr>
        <w:t>胶装成册</w:t>
      </w:r>
      <w:r>
        <w:rPr>
          <w:rFonts w:hint="eastAsia" w:ascii="宋体" w:hAnsi="宋体"/>
          <w:sz w:val="28"/>
          <w:szCs w:val="28"/>
        </w:rPr>
        <w:t>；价格文件纸张在</w:t>
      </w:r>
      <w:r>
        <w:rPr>
          <w:rFonts w:ascii="宋体" w:hAnsi="宋体"/>
          <w:sz w:val="28"/>
          <w:szCs w:val="28"/>
        </w:rPr>
        <w:t>10</w:t>
      </w:r>
      <w:r>
        <w:rPr>
          <w:rFonts w:hint="eastAsia" w:ascii="宋体" w:hAnsi="宋体"/>
          <w:sz w:val="28"/>
          <w:szCs w:val="28"/>
        </w:rPr>
        <w:t>张以上的也应当</w:t>
      </w:r>
      <w:r>
        <w:rPr>
          <w:rFonts w:ascii="宋体" w:hAnsi="宋体"/>
          <w:sz w:val="28"/>
          <w:szCs w:val="28"/>
        </w:rPr>
        <w:t>胶装成册</w:t>
      </w:r>
      <w:r>
        <w:rPr>
          <w:rFonts w:hint="eastAsia" w:ascii="宋体" w:hAnsi="宋体"/>
          <w:sz w:val="28"/>
          <w:szCs w:val="28"/>
        </w:rPr>
        <w:t>，不足</w:t>
      </w:r>
      <w:r>
        <w:rPr>
          <w:rFonts w:ascii="宋体" w:hAnsi="宋体"/>
          <w:sz w:val="28"/>
          <w:szCs w:val="28"/>
        </w:rPr>
        <w:t>10</w:t>
      </w:r>
      <w:r>
        <w:rPr>
          <w:rFonts w:hint="eastAsia" w:ascii="宋体" w:hAnsi="宋体"/>
          <w:sz w:val="28"/>
          <w:szCs w:val="28"/>
        </w:rPr>
        <w:t>张的应当装订</w:t>
      </w:r>
      <w:r>
        <w:rPr>
          <w:rFonts w:hint="eastAsia" w:ascii="宋体" w:hAnsi="宋体"/>
          <w:bCs/>
          <w:sz w:val="28"/>
          <w:szCs w:val="28"/>
          <w:lang w:val="zh-CN"/>
        </w:rPr>
        <w:t>或胶装成册</w:t>
      </w:r>
      <w:r>
        <w:rPr>
          <w:rFonts w:hint="eastAsia" w:ascii="宋体" w:hAnsi="宋体"/>
          <w:sz w:val="28"/>
          <w:szCs w:val="28"/>
        </w:rPr>
        <w:t>。</w:t>
      </w:r>
    </w:p>
    <w:p>
      <w:pPr>
        <w:spacing w:line="560" w:lineRule="exact"/>
        <w:ind w:firstLine="560" w:firstLineChars="200"/>
        <w:rPr>
          <w:rFonts w:ascii="宋体" w:hAnsi="宋体"/>
          <w:sz w:val="28"/>
          <w:szCs w:val="28"/>
        </w:rPr>
      </w:pPr>
      <w:r>
        <w:rPr>
          <w:rFonts w:ascii="宋体" w:hAnsi="宋体"/>
          <w:sz w:val="28"/>
          <w:szCs w:val="28"/>
        </w:rPr>
        <w:t>14.3</w:t>
      </w:r>
      <w:r>
        <w:rPr>
          <w:rFonts w:hint="eastAsia" w:ascii="宋体" w:hAnsi="宋体"/>
          <w:sz w:val="28"/>
          <w:szCs w:val="28"/>
        </w:rPr>
        <w:t>报价</w:t>
      </w:r>
      <w:r>
        <w:rPr>
          <w:rFonts w:ascii="宋体" w:hAnsi="宋体"/>
          <w:sz w:val="28"/>
          <w:szCs w:val="28"/>
        </w:rPr>
        <w:t>文件</w:t>
      </w:r>
      <w:r>
        <w:rPr>
          <w:rFonts w:hint="eastAsia" w:ascii="宋体" w:hAnsi="宋体"/>
          <w:sz w:val="28"/>
          <w:szCs w:val="28"/>
        </w:rPr>
        <w:t>应当</w:t>
      </w:r>
      <w:r>
        <w:rPr>
          <w:rFonts w:ascii="宋体" w:hAnsi="宋体"/>
          <w:sz w:val="28"/>
          <w:szCs w:val="28"/>
        </w:rPr>
        <w:t>打印或用黑色、蓝黑色墨水填写。</w:t>
      </w:r>
    </w:p>
    <w:p>
      <w:pPr>
        <w:spacing w:line="560" w:lineRule="exact"/>
        <w:ind w:firstLine="560" w:firstLineChars="200"/>
        <w:rPr>
          <w:rFonts w:ascii="宋体" w:hAnsi="宋体"/>
          <w:bCs/>
          <w:sz w:val="28"/>
          <w:szCs w:val="28"/>
          <w:lang w:val="zh-CN"/>
        </w:rPr>
      </w:pPr>
      <w:r>
        <w:rPr>
          <w:rFonts w:ascii="宋体" w:hAnsi="宋体"/>
          <w:sz w:val="28"/>
          <w:szCs w:val="28"/>
        </w:rPr>
        <w:t>14.4</w:t>
      </w:r>
      <w:r>
        <w:rPr>
          <w:rFonts w:hint="eastAsia" w:ascii="宋体" w:hAnsi="宋体"/>
          <w:bCs/>
          <w:sz w:val="28"/>
          <w:szCs w:val="28"/>
          <w:lang w:val="zh-CN"/>
        </w:rPr>
        <w:t>报价</w:t>
      </w:r>
      <w:r>
        <w:rPr>
          <w:rFonts w:ascii="宋体" w:hAnsi="宋体"/>
          <w:bCs/>
          <w:sz w:val="28"/>
          <w:szCs w:val="28"/>
          <w:lang w:val="zh-CN"/>
        </w:rPr>
        <w:t>一览表</w:t>
      </w:r>
      <w:r>
        <w:rPr>
          <w:rFonts w:hint="eastAsia" w:ascii="宋体" w:hAnsi="宋体"/>
          <w:bCs/>
          <w:sz w:val="28"/>
          <w:szCs w:val="28"/>
          <w:lang w:val="zh-CN"/>
        </w:rPr>
        <w:t>表格</w:t>
      </w:r>
      <w:r>
        <w:rPr>
          <w:rFonts w:hint="eastAsia" w:ascii="宋体" w:hAnsi="宋体"/>
          <w:sz w:val="28"/>
          <w:szCs w:val="28"/>
        </w:rPr>
        <w:t>应当</w:t>
      </w:r>
      <w:r>
        <w:rPr>
          <w:rFonts w:ascii="宋体" w:hAnsi="宋体"/>
          <w:bCs/>
          <w:sz w:val="28"/>
          <w:szCs w:val="28"/>
          <w:lang w:val="zh-CN"/>
        </w:rPr>
        <w:t>按照规定的</w:t>
      </w:r>
      <w:r>
        <w:rPr>
          <w:rFonts w:hint="eastAsia" w:ascii="宋体" w:hAnsi="宋体"/>
          <w:bCs/>
          <w:sz w:val="28"/>
          <w:szCs w:val="28"/>
          <w:lang w:val="zh-CN"/>
        </w:rPr>
        <w:t>要素</w:t>
      </w:r>
      <w:r>
        <w:rPr>
          <w:rFonts w:ascii="宋体" w:hAnsi="宋体"/>
          <w:bCs/>
          <w:sz w:val="28"/>
          <w:szCs w:val="28"/>
          <w:lang w:val="zh-CN"/>
        </w:rPr>
        <w:t>填写，</w:t>
      </w:r>
      <w:r>
        <w:rPr>
          <w:rFonts w:hint="eastAsia" w:ascii="宋体" w:hAnsi="宋体"/>
          <w:bCs/>
          <w:sz w:val="28"/>
          <w:szCs w:val="28"/>
          <w:lang w:val="zh-CN"/>
        </w:rPr>
        <w:t>其中：</w:t>
      </w:r>
    </w:p>
    <w:p>
      <w:pPr>
        <w:adjustRightInd w:val="0"/>
        <w:snapToGrid w:val="0"/>
        <w:spacing w:line="560" w:lineRule="exact"/>
        <w:ind w:firstLine="560" w:firstLineChars="200"/>
        <w:rPr>
          <w:rFonts w:ascii="宋体" w:hAnsi="宋体"/>
          <w:bCs/>
          <w:sz w:val="28"/>
          <w:szCs w:val="28"/>
          <w:lang w:val="zh-CN"/>
        </w:rPr>
      </w:pPr>
      <w:r>
        <w:rPr>
          <w:rFonts w:hint="eastAsia" w:ascii="宋体" w:hAnsi="宋体"/>
          <w:bCs/>
          <w:sz w:val="28"/>
          <w:szCs w:val="28"/>
          <w:lang w:val="zh-CN"/>
        </w:rPr>
        <w:t>（1）表格各列不得自行增减，不得调整顺序。</w:t>
      </w:r>
    </w:p>
    <w:p>
      <w:pPr>
        <w:adjustRightInd w:val="0"/>
        <w:snapToGrid w:val="0"/>
        <w:spacing w:line="560" w:lineRule="exact"/>
        <w:ind w:firstLine="560" w:firstLineChars="200"/>
        <w:rPr>
          <w:rFonts w:ascii="宋体" w:hAnsi="宋体"/>
          <w:bCs/>
          <w:sz w:val="28"/>
          <w:szCs w:val="28"/>
          <w:lang w:val="zh-CN"/>
        </w:rPr>
      </w:pPr>
      <w:r>
        <w:rPr>
          <w:rFonts w:hint="eastAsia" w:ascii="宋体" w:hAnsi="宋体"/>
          <w:bCs/>
          <w:sz w:val="28"/>
          <w:szCs w:val="28"/>
          <w:lang w:val="zh-CN"/>
        </w:rPr>
        <w:t>（2）谈判文件已经明确物资明细的，应当严格按照明确的物资名称填写各行内容，不得自行增减，调整顺序的不影响报价有效性；未明确物资明细的，自行填写各行内容，应当包含所投所有物资。</w:t>
      </w:r>
    </w:p>
    <w:p>
      <w:pPr>
        <w:adjustRightInd w:val="0"/>
        <w:snapToGrid w:val="0"/>
        <w:spacing w:line="560" w:lineRule="exact"/>
        <w:ind w:firstLine="560" w:firstLineChars="200"/>
        <w:rPr>
          <w:rFonts w:ascii="宋体" w:hAnsi="宋体"/>
          <w:bCs/>
          <w:sz w:val="28"/>
          <w:szCs w:val="28"/>
          <w:lang w:val="zh-CN"/>
        </w:rPr>
      </w:pPr>
      <w:r>
        <w:rPr>
          <w:rFonts w:hint="eastAsia" w:ascii="宋体" w:hAnsi="宋体"/>
          <w:bCs/>
          <w:sz w:val="28"/>
          <w:szCs w:val="28"/>
          <w:lang w:val="zh-CN"/>
        </w:rPr>
        <w:t>（3）单元格内容相同的，可以合并。</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宋体" w:hAnsi="宋体"/>
          <w:sz w:val="28"/>
          <w:szCs w:val="28"/>
          <w:lang w:val="zh-CN"/>
        </w:rPr>
        <w:t>（</w:t>
      </w:r>
      <w:r>
        <w:rPr>
          <w:rFonts w:ascii="宋体" w:hAnsi="宋体"/>
          <w:sz w:val="28"/>
          <w:szCs w:val="28"/>
          <w:lang w:val="zh-CN"/>
        </w:rPr>
        <w:t>4</w:t>
      </w:r>
      <w:r>
        <w:rPr>
          <w:rFonts w:hint="eastAsia" w:ascii="宋体" w:hAnsi="宋体"/>
          <w:sz w:val="28"/>
          <w:szCs w:val="28"/>
          <w:lang w:val="zh-CN"/>
        </w:rPr>
        <w:t>）不得增加附件。</w:t>
      </w:r>
    </w:p>
    <w:p>
      <w:pPr>
        <w:adjustRightInd w:val="0"/>
        <w:snapToGrid w:val="0"/>
        <w:spacing w:line="560" w:lineRule="exact"/>
        <w:ind w:firstLine="560" w:firstLineChars="200"/>
        <w:rPr>
          <w:rFonts w:asciiTheme="minorEastAsia" w:hAnsiTheme="minorEastAsia" w:eastAsiaTheme="minorEastAsia"/>
          <w:bCs/>
          <w:sz w:val="28"/>
          <w:szCs w:val="28"/>
        </w:rPr>
      </w:pPr>
      <w:r>
        <w:rPr>
          <w:rFonts w:ascii="宋体" w:hAnsi="宋体"/>
          <w:bCs/>
          <w:sz w:val="28"/>
          <w:szCs w:val="28"/>
        </w:rPr>
        <w:t>14.5</w:t>
      </w:r>
      <w:r>
        <w:rPr>
          <w:rFonts w:hint="eastAsia" w:asciiTheme="minorEastAsia" w:hAnsiTheme="minorEastAsia" w:eastAsiaTheme="minorEastAsia"/>
          <w:bCs/>
          <w:sz w:val="28"/>
          <w:szCs w:val="28"/>
        </w:rPr>
        <w:t>报价文件正本应当打印，并按照谈判文件规定，应当盖章处加</w:t>
      </w:r>
      <w:r>
        <w:rPr>
          <w:rFonts w:hint="eastAsia" w:ascii="宋体" w:hAnsi="宋体"/>
          <w:bCs/>
          <w:sz w:val="28"/>
          <w:szCs w:val="28"/>
        </w:rPr>
        <w:t>盖报价供应商公章，</w:t>
      </w:r>
      <w:r>
        <w:rPr>
          <w:rFonts w:hint="eastAsia" w:asciiTheme="minorEastAsia" w:hAnsiTheme="minorEastAsia" w:eastAsiaTheme="minorEastAsia"/>
          <w:bCs/>
          <w:sz w:val="28"/>
          <w:szCs w:val="28"/>
        </w:rPr>
        <w:t>应当签字处由报价供应商代表签字。</w:t>
      </w:r>
      <w:r>
        <w:rPr>
          <w:rFonts w:hint="eastAsia" w:ascii="宋体" w:hAnsi="宋体"/>
          <w:bCs/>
          <w:sz w:val="28"/>
          <w:szCs w:val="28"/>
        </w:rPr>
        <w:t>由报价供应商的法定代表人签字的，应当附法定代表人身份证明；报价</w:t>
      </w:r>
      <w:r>
        <w:rPr>
          <w:rFonts w:hint="eastAsia" w:asciiTheme="minorEastAsia" w:hAnsiTheme="minorEastAsia" w:eastAsiaTheme="minorEastAsia"/>
          <w:bCs/>
          <w:sz w:val="28"/>
          <w:szCs w:val="28"/>
        </w:rPr>
        <w:t>供应商代表不是报价供应商的法定代表人的，应当提供法定代表人授权委托书。报价文件的副本可以是正本已盖章和签字文件的复印件。报价文件的正本与副本应当分别装订成册。</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14.6</w:t>
      </w:r>
      <w:r>
        <w:rPr>
          <w:rFonts w:hint="eastAsia" w:ascii="宋体" w:hAnsi="宋体"/>
          <w:bCs/>
          <w:sz w:val="28"/>
          <w:szCs w:val="28"/>
        </w:rPr>
        <w:t>报价</w:t>
      </w:r>
      <w:r>
        <w:rPr>
          <w:rFonts w:hint="eastAsia" w:ascii="宋体" w:hAnsi="宋体"/>
          <w:bCs/>
          <w:sz w:val="28"/>
          <w:szCs w:val="28"/>
          <w:lang w:val="zh-CN"/>
        </w:rPr>
        <w:t>供应商应当提交</w:t>
      </w:r>
      <w:r>
        <w:rPr>
          <w:rFonts w:hint="eastAsia" w:ascii="宋体" w:hAnsi="宋体"/>
          <w:bCs/>
          <w:sz w:val="28"/>
          <w:szCs w:val="28"/>
        </w:rPr>
        <w:t>报价文件正本一份，副本、电子版份数见</w:t>
      </w:r>
      <w:r>
        <w:rPr>
          <w:rFonts w:hint="eastAsia" w:ascii="宋体" w:hAnsi="宋体"/>
          <w:bCs/>
          <w:sz w:val="28"/>
          <w:szCs w:val="28"/>
          <w:lang w:val="zh-CN"/>
        </w:rPr>
        <w:t>【</w:t>
      </w:r>
      <w:r>
        <w:rPr>
          <w:rFonts w:hint="eastAsia" w:asciiTheme="minorEastAsia" w:hAnsiTheme="minorEastAsia" w:eastAsiaTheme="minorEastAsia"/>
          <w:bCs/>
          <w:sz w:val="28"/>
          <w:szCs w:val="28"/>
        </w:rPr>
        <w:t>报价供应商</w:t>
      </w:r>
      <w:r>
        <w:rPr>
          <w:rFonts w:hint="eastAsia" w:ascii="宋体" w:hAnsi="宋体"/>
          <w:bCs/>
          <w:sz w:val="28"/>
          <w:szCs w:val="28"/>
          <w:lang w:val="zh-CN"/>
        </w:rPr>
        <w:t>须知前附表】</w:t>
      </w:r>
      <w:r>
        <w:rPr>
          <w:rFonts w:hint="eastAsia" w:ascii="宋体" w:hAnsi="宋体"/>
          <w:bCs/>
          <w:sz w:val="28"/>
          <w:szCs w:val="28"/>
        </w:rPr>
        <w:t>。报价文件正本和副本的封面右上角上应当清楚标记“正本”或“副本”字样。当副本和正本不一致或电子版文件与纸质正本文件不一致时，以纸质正本文件为准。</w:t>
      </w:r>
    </w:p>
    <w:p>
      <w:pPr>
        <w:adjustRightInd w:val="0"/>
        <w:snapToGrid w:val="0"/>
        <w:spacing w:line="560" w:lineRule="exact"/>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14</w:t>
      </w: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7</w:t>
      </w:r>
      <w:r>
        <w:rPr>
          <w:rFonts w:hint="eastAsia" w:asciiTheme="minorEastAsia" w:hAnsiTheme="minorEastAsia" w:eastAsiaTheme="minorEastAsia"/>
          <w:bCs/>
          <w:sz w:val="28"/>
          <w:szCs w:val="28"/>
        </w:rPr>
        <w:t>报价文件正本应当加盖骑缝章</w:t>
      </w:r>
      <w:r>
        <w:rPr>
          <w:rFonts w:hint="eastAsia" w:ascii="宋体" w:hAnsi="宋体"/>
          <w:bCs/>
          <w:sz w:val="28"/>
          <w:szCs w:val="28"/>
          <w:lang w:val="zh-CN"/>
        </w:rPr>
        <w:t>（每页均加盖公章的，可以不盖骑缝章）</w:t>
      </w:r>
      <w:r>
        <w:rPr>
          <w:rFonts w:hint="eastAsia" w:asciiTheme="minorEastAsia" w:hAnsiTheme="minorEastAsia" w:eastAsiaTheme="minorEastAsia"/>
          <w:bCs/>
          <w:sz w:val="28"/>
          <w:szCs w:val="28"/>
        </w:rPr>
        <w:t>，不得随意涂改和增删。如有修改错漏之处，应当由法定代表人或授权代表签字。</w:t>
      </w:r>
    </w:p>
    <w:p>
      <w:pPr>
        <w:pStyle w:val="6"/>
        <w:keepNext w:val="0"/>
        <w:keepLines w:val="0"/>
        <w:adjustRightInd w:val="0"/>
        <w:snapToGrid w:val="0"/>
        <w:spacing w:before="0" w:after="0" w:line="560" w:lineRule="exact"/>
        <w:ind w:firstLine="560" w:firstLineChars="200"/>
        <w:rPr>
          <w:rFonts w:ascii="黑体" w:hAnsi="黑体"/>
          <w:b w:val="0"/>
        </w:rPr>
      </w:pPr>
      <w:bookmarkStart w:id="138" w:name="_Toc13302"/>
      <w:bookmarkStart w:id="139" w:name="_Toc11908"/>
      <w:bookmarkStart w:id="140" w:name="_Toc545"/>
      <w:bookmarkStart w:id="141" w:name="_Toc112768397"/>
      <w:bookmarkStart w:id="142" w:name="_Toc30409"/>
      <w:bookmarkStart w:id="143" w:name="_Toc21035"/>
      <w:r>
        <w:rPr>
          <w:rFonts w:ascii="黑体" w:hAnsi="黑体"/>
          <w:b w:val="0"/>
        </w:rPr>
        <w:t>15.</w:t>
      </w:r>
      <w:r>
        <w:rPr>
          <w:rFonts w:hint="eastAsia" w:ascii="黑体" w:hAnsi="黑体"/>
          <w:b w:val="0"/>
        </w:rPr>
        <w:t>报价有效期</w:t>
      </w:r>
      <w:bookmarkEnd w:id="138"/>
      <w:bookmarkEnd w:id="139"/>
      <w:bookmarkEnd w:id="140"/>
      <w:bookmarkEnd w:id="141"/>
      <w:bookmarkEnd w:id="142"/>
      <w:bookmarkEnd w:id="143"/>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15.1报价</w:t>
      </w:r>
      <w:r>
        <w:rPr>
          <w:rFonts w:hint="eastAsia" w:ascii="宋体" w:hAnsi="宋体"/>
          <w:bCs/>
          <w:sz w:val="28"/>
          <w:szCs w:val="28"/>
          <w:lang w:val="zh-CN"/>
        </w:rPr>
        <w:t>有效期从提交报价文件的截止之日起算。报价文件中承诺的谈判有效期应当不少于【</w:t>
      </w:r>
      <w:r>
        <w:rPr>
          <w:rFonts w:hint="eastAsia" w:asciiTheme="minorEastAsia" w:hAnsiTheme="minorEastAsia" w:eastAsiaTheme="minorEastAsia"/>
          <w:bCs/>
          <w:sz w:val="28"/>
          <w:szCs w:val="28"/>
        </w:rPr>
        <w:t>报价供应商</w:t>
      </w:r>
      <w:r>
        <w:rPr>
          <w:rFonts w:hint="eastAsia" w:ascii="宋体" w:hAnsi="宋体"/>
          <w:bCs/>
          <w:sz w:val="28"/>
          <w:szCs w:val="28"/>
          <w:lang w:val="zh-CN"/>
        </w:rPr>
        <w:t>须知前附表】中载明的谈判有效期，否则视为无效报价。</w:t>
      </w:r>
    </w:p>
    <w:p>
      <w:pPr>
        <w:adjustRightInd w:val="0"/>
        <w:snapToGrid w:val="0"/>
        <w:spacing w:line="560" w:lineRule="exact"/>
        <w:ind w:firstLine="560" w:firstLineChars="200"/>
        <w:rPr>
          <w:rFonts w:ascii="宋体" w:hAnsi="宋体"/>
          <w:bCs/>
          <w:sz w:val="28"/>
          <w:szCs w:val="28"/>
        </w:rPr>
      </w:pPr>
      <w:r>
        <w:rPr>
          <w:rFonts w:ascii="宋体" w:hAnsi="宋体"/>
          <w:bCs/>
          <w:sz w:val="28"/>
          <w:szCs w:val="28"/>
          <w:lang w:val="zh-CN"/>
        </w:rPr>
        <w:t>15.2报价有效期需要延长的，采购机构可与</w:t>
      </w:r>
      <w:r>
        <w:rPr>
          <w:rFonts w:hint="eastAsia" w:ascii="宋体" w:hAnsi="宋体"/>
          <w:bCs/>
          <w:sz w:val="28"/>
          <w:szCs w:val="28"/>
          <w:lang w:val="zh-CN"/>
        </w:rPr>
        <w:t>报价</w:t>
      </w:r>
      <w:r>
        <w:rPr>
          <w:rFonts w:ascii="宋体" w:hAnsi="宋体"/>
          <w:bCs/>
          <w:sz w:val="28"/>
          <w:szCs w:val="28"/>
          <w:lang w:val="zh-CN"/>
        </w:rPr>
        <w:t>供应商进行协商，并以书面形式确认，谈判保证金有效期相应延长。</w:t>
      </w:r>
      <w:r>
        <w:rPr>
          <w:rFonts w:hint="eastAsia" w:ascii="宋体" w:hAnsi="宋体"/>
          <w:bCs/>
          <w:sz w:val="28"/>
          <w:szCs w:val="28"/>
          <w:lang w:val="zh-CN"/>
        </w:rPr>
        <w:t>报价</w:t>
      </w:r>
      <w:r>
        <w:rPr>
          <w:rFonts w:ascii="宋体" w:hAnsi="宋体"/>
          <w:bCs/>
          <w:sz w:val="28"/>
          <w:szCs w:val="28"/>
          <w:lang w:val="zh-CN"/>
        </w:rPr>
        <w:t>供应商拒绝延长有效期不影响退还谈判保证金。同意延长有效期的</w:t>
      </w:r>
      <w:r>
        <w:rPr>
          <w:rFonts w:hint="eastAsia" w:ascii="宋体" w:hAnsi="宋体"/>
          <w:bCs/>
          <w:sz w:val="28"/>
          <w:szCs w:val="28"/>
          <w:lang w:val="zh-CN"/>
        </w:rPr>
        <w:t>报价</w:t>
      </w:r>
      <w:r>
        <w:rPr>
          <w:rFonts w:ascii="宋体" w:hAnsi="宋体"/>
          <w:bCs/>
          <w:sz w:val="28"/>
          <w:szCs w:val="28"/>
          <w:lang w:val="zh-CN"/>
        </w:rPr>
        <w:t>供应商不</w:t>
      </w:r>
      <w:r>
        <w:rPr>
          <w:rFonts w:hint="eastAsia" w:ascii="宋体" w:hAnsi="宋体"/>
          <w:bCs/>
          <w:sz w:val="28"/>
          <w:szCs w:val="28"/>
          <w:lang w:val="zh-CN"/>
        </w:rPr>
        <w:t>得</w:t>
      </w:r>
      <w:r>
        <w:rPr>
          <w:rFonts w:ascii="宋体" w:hAnsi="宋体"/>
          <w:bCs/>
          <w:sz w:val="28"/>
          <w:szCs w:val="28"/>
          <w:lang w:val="zh-CN"/>
        </w:rPr>
        <w:t>修改报价文件。</w:t>
      </w:r>
    </w:p>
    <w:p>
      <w:pPr>
        <w:pStyle w:val="6"/>
        <w:keepNext w:val="0"/>
        <w:keepLines w:val="0"/>
        <w:adjustRightInd w:val="0"/>
        <w:snapToGrid w:val="0"/>
        <w:spacing w:before="0" w:after="0" w:line="560" w:lineRule="exact"/>
        <w:ind w:firstLine="560" w:firstLineChars="200"/>
        <w:rPr>
          <w:rFonts w:ascii="黑体" w:hAnsi="黑体"/>
          <w:b w:val="0"/>
        </w:rPr>
      </w:pPr>
      <w:bookmarkStart w:id="144" w:name="_Toc31206"/>
      <w:bookmarkStart w:id="145" w:name="_Toc32522"/>
      <w:bookmarkStart w:id="146" w:name="_Toc16433"/>
      <w:bookmarkStart w:id="147" w:name="_Toc9287"/>
      <w:bookmarkStart w:id="148" w:name="_Toc3099"/>
      <w:bookmarkStart w:id="149" w:name="_Toc112768398"/>
      <w:r>
        <w:rPr>
          <w:rFonts w:ascii="黑体" w:hAnsi="黑体"/>
          <w:b w:val="0"/>
        </w:rPr>
        <w:t>16.</w:t>
      </w:r>
      <w:r>
        <w:rPr>
          <w:rFonts w:hint="eastAsia" w:ascii="黑体" w:hAnsi="黑体"/>
          <w:b w:val="0"/>
        </w:rPr>
        <w:t>报价</w:t>
      </w:r>
      <w:bookmarkEnd w:id="144"/>
      <w:bookmarkEnd w:id="145"/>
      <w:bookmarkEnd w:id="146"/>
      <w:bookmarkEnd w:id="147"/>
      <w:bookmarkEnd w:id="148"/>
      <w:bookmarkEnd w:id="149"/>
      <w:r>
        <w:rPr>
          <w:rFonts w:hint="eastAsia" w:ascii="黑体" w:hAnsi="黑体"/>
          <w:b w:val="0"/>
        </w:rPr>
        <w:t>要求</w:t>
      </w:r>
    </w:p>
    <w:p>
      <w:pPr>
        <w:adjustRightInd w:val="0"/>
        <w:snapToGrid w:val="0"/>
        <w:spacing w:line="560" w:lineRule="exact"/>
        <w:ind w:firstLine="560" w:firstLineChars="200"/>
        <w:rPr>
          <w:rFonts w:ascii="宋体" w:hAnsi="宋体"/>
          <w:bCs/>
          <w:sz w:val="28"/>
          <w:szCs w:val="28"/>
        </w:rPr>
      </w:pPr>
      <w:r>
        <w:rPr>
          <w:rFonts w:ascii="宋体" w:hAnsi="宋体"/>
          <w:bCs/>
          <w:sz w:val="28"/>
          <w:szCs w:val="28"/>
          <w:lang w:val="zh-CN"/>
        </w:rPr>
        <w:t>16.1所有报价均以人民币为货币单位</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16.2所有单价和总价按照</w:t>
      </w:r>
      <w:r>
        <w:rPr>
          <w:rFonts w:hint="eastAsia" w:ascii="宋体" w:hAnsi="宋体"/>
          <w:bCs/>
          <w:sz w:val="28"/>
          <w:szCs w:val="28"/>
          <w:lang w:val="zh-CN"/>
        </w:rPr>
        <w:t>“报价</w:t>
      </w:r>
      <w:r>
        <w:rPr>
          <w:rFonts w:ascii="宋体" w:hAnsi="宋体"/>
          <w:bCs/>
          <w:sz w:val="28"/>
          <w:szCs w:val="28"/>
          <w:lang w:val="zh-CN"/>
        </w:rPr>
        <w:t>一览表</w:t>
      </w:r>
      <w:r>
        <w:rPr>
          <w:rFonts w:hint="eastAsia" w:ascii="宋体" w:hAnsi="宋体"/>
          <w:bCs/>
          <w:sz w:val="28"/>
          <w:szCs w:val="28"/>
          <w:lang w:val="zh-CN"/>
        </w:rPr>
        <w:t>”</w:t>
      </w:r>
      <w:r>
        <w:rPr>
          <w:rFonts w:ascii="宋体" w:hAnsi="宋体"/>
          <w:bCs/>
          <w:sz w:val="28"/>
          <w:szCs w:val="28"/>
          <w:lang w:val="zh-CN"/>
        </w:rPr>
        <w:t>格式要求填报。</w:t>
      </w:r>
      <w:r>
        <w:rPr>
          <w:rFonts w:ascii="宋体" w:hAnsi="宋体"/>
          <w:bCs/>
          <w:snapToGrid w:val="0"/>
          <w:sz w:val="28"/>
          <w:szCs w:val="28"/>
          <w:lang w:val="zh-CN"/>
        </w:rPr>
        <w:t>报价应包括货款、标准附件、备品备件、专用工具、包装、安装、调试、培训、保修等费用和税金。</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16.3</w:t>
      </w:r>
      <w:r>
        <w:rPr>
          <w:rFonts w:hint="eastAsia" w:ascii="宋体" w:hAnsi="宋体"/>
          <w:bCs/>
          <w:sz w:val="28"/>
          <w:szCs w:val="28"/>
          <w:lang w:val="zh-CN"/>
        </w:rPr>
        <w:t>报价</w:t>
      </w:r>
      <w:r>
        <w:rPr>
          <w:rFonts w:ascii="宋体" w:hAnsi="宋体"/>
          <w:bCs/>
          <w:sz w:val="28"/>
          <w:szCs w:val="28"/>
          <w:lang w:val="zh-CN"/>
        </w:rPr>
        <w:t>供应商</w:t>
      </w:r>
      <w:r>
        <w:rPr>
          <w:rFonts w:ascii="宋体" w:hAnsi="宋体"/>
          <w:bCs/>
          <w:sz w:val="28"/>
          <w:szCs w:val="28"/>
        </w:rPr>
        <w:t>对同一种物资只允许有</w:t>
      </w:r>
      <w:r>
        <w:rPr>
          <w:rFonts w:hint="eastAsia" w:ascii="宋体" w:hAnsi="宋体"/>
          <w:bCs/>
          <w:sz w:val="28"/>
          <w:szCs w:val="28"/>
        </w:rPr>
        <w:t>唯一</w:t>
      </w:r>
      <w:r>
        <w:rPr>
          <w:rFonts w:ascii="宋体" w:hAnsi="宋体"/>
          <w:bCs/>
          <w:sz w:val="28"/>
          <w:szCs w:val="28"/>
        </w:rPr>
        <w:t>报价，任何有选择的报价或有附加条件的报价</w:t>
      </w:r>
      <w:r>
        <w:rPr>
          <w:rFonts w:hint="eastAsia" w:ascii="宋体" w:hAnsi="宋体"/>
          <w:bCs/>
          <w:sz w:val="28"/>
          <w:szCs w:val="28"/>
        </w:rPr>
        <w:t>，视为无效报价。</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16.4</w:t>
      </w:r>
      <w:r>
        <w:rPr>
          <w:rFonts w:hint="eastAsia" w:ascii="宋体" w:hAnsi="宋体"/>
          <w:bCs/>
          <w:sz w:val="28"/>
          <w:szCs w:val="28"/>
          <w:lang w:val="zh-CN"/>
        </w:rPr>
        <w:t>谈判报价的其他要求见【</w:t>
      </w:r>
      <w:r>
        <w:rPr>
          <w:rFonts w:hint="eastAsia" w:asciiTheme="minorEastAsia" w:hAnsiTheme="minorEastAsia" w:eastAsiaTheme="minorEastAsia"/>
          <w:bCs/>
          <w:sz w:val="28"/>
          <w:szCs w:val="28"/>
        </w:rPr>
        <w:t>报价供应商</w:t>
      </w:r>
      <w:r>
        <w:rPr>
          <w:rFonts w:hint="eastAsia" w:ascii="宋体" w:hAnsi="宋体"/>
          <w:bCs/>
          <w:sz w:val="28"/>
          <w:szCs w:val="28"/>
          <w:lang w:val="zh-CN"/>
        </w:rPr>
        <w:t>须知前附表】。</w:t>
      </w:r>
    </w:p>
    <w:p>
      <w:pPr>
        <w:pStyle w:val="6"/>
        <w:keepNext w:val="0"/>
        <w:keepLines w:val="0"/>
        <w:adjustRightInd w:val="0"/>
        <w:snapToGrid w:val="0"/>
        <w:spacing w:before="0" w:after="0" w:line="560" w:lineRule="exact"/>
        <w:ind w:firstLine="560" w:firstLineChars="200"/>
        <w:rPr>
          <w:rFonts w:ascii="黑体" w:hAnsi="黑体"/>
          <w:b w:val="0"/>
        </w:rPr>
      </w:pPr>
      <w:bookmarkStart w:id="150" w:name="_Toc112768399"/>
      <w:bookmarkStart w:id="151" w:name="_Toc26562"/>
      <w:bookmarkStart w:id="152" w:name="_Toc7152"/>
      <w:bookmarkStart w:id="153" w:name="_Toc28577"/>
      <w:bookmarkStart w:id="154" w:name="_Toc13739"/>
      <w:bookmarkStart w:id="155" w:name="_Toc9356"/>
      <w:r>
        <w:rPr>
          <w:rFonts w:ascii="黑体" w:hAnsi="黑体"/>
          <w:b w:val="0"/>
        </w:rPr>
        <w:t>17.</w:t>
      </w:r>
      <w:r>
        <w:rPr>
          <w:rFonts w:hint="eastAsia" w:ascii="黑体" w:hAnsi="黑体"/>
          <w:b w:val="0"/>
        </w:rPr>
        <w:t>谈判保证金</w:t>
      </w:r>
      <w:bookmarkEnd w:id="150"/>
      <w:bookmarkEnd w:id="151"/>
      <w:bookmarkEnd w:id="152"/>
      <w:bookmarkEnd w:id="153"/>
      <w:bookmarkEnd w:id="154"/>
      <w:bookmarkEnd w:id="155"/>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17.1谈判</w:t>
      </w:r>
      <w:r>
        <w:rPr>
          <w:rFonts w:hint="eastAsia" w:ascii="宋体" w:hAnsi="宋体"/>
          <w:bCs/>
          <w:sz w:val="28"/>
          <w:szCs w:val="28"/>
          <w:lang w:val="zh-CN"/>
        </w:rPr>
        <w:t>保证金金额、账号及缴纳截止时间见【</w:t>
      </w:r>
      <w:r>
        <w:rPr>
          <w:rFonts w:hint="eastAsia" w:asciiTheme="minorEastAsia" w:hAnsiTheme="minorEastAsia" w:eastAsiaTheme="minorEastAsia"/>
          <w:bCs/>
          <w:sz w:val="28"/>
          <w:szCs w:val="28"/>
        </w:rPr>
        <w:t>报价供应商</w:t>
      </w:r>
      <w:r>
        <w:rPr>
          <w:rFonts w:hint="eastAsia" w:ascii="宋体" w:hAnsi="宋体"/>
          <w:bCs/>
          <w:sz w:val="28"/>
          <w:szCs w:val="28"/>
          <w:lang w:val="zh-CN"/>
        </w:rPr>
        <w:t>须知前附表】。</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rPr>
        <w:t>17.2谈判</w:t>
      </w:r>
      <w:r>
        <w:rPr>
          <w:rFonts w:ascii="宋体" w:hAnsi="宋体"/>
          <w:bCs/>
          <w:sz w:val="28"/>
          <w:szCs w:val="28"/>
          <w:lang w:val="zh-CN"/>
        </w:rPr>
        <w:t>保证金</w:t>
      </w:r>
      <w:r>
        <w:rPr>
          <w:rFonts w:hint="eastAsia" w:ascii="宋体" w:hAnsi="宋体"/>
          <w:bCs/>
          <w:sz w:val="28"/>
          <w:szCs w:val="28"/>
          <w:lang w:val="zh-CN"/>
        </w:rPr>
        <w:t>应当</w:t>
      </w:r>
      <w:r>
        <w:rPr>
          <w:rFonts w:ascii="宋体" w:hAnsi="宋体"/>
          <w:bCs/>
          <w:sz w:val="28"/>
          <w:szCs w:val="28"/>
          <w:lang w:val="zh-CN"/>
        </w:rPr>
        <w:t>采取非现金方式</w:t>
      </w:r>
      <w:r>
        <w:rPr>
          <w:rFonts w:hint="eastAsia" w:ascii="宋体" w:hAnsi="宋体"/>
          <w:bCs/>
          <w:sz w:val="28"/>
          <w:szCs w:val="28"/>
        </w:rPr>
        <w:t>缴纳</w:t>
      </w:r>
      <w:r>
        <w:rPr>
          <w:rFonts w:hint="eastAsia" w:ascii="宋体" w:hAnsi="宋体"/>
          <w:bCs/>
          <w:sz w:val="28"/>
          <w:szCs w:val="28"/>
          <w:lang w:val="zh-CN"/>
        </w:rPr>
        <w:t>。采取汇款方式缴纳的，谈判保证金应当从报价供应商的银行账户缴纳且在报价截止时间前到达采购机构账户内，否则视为无效报价；报价供应商在汇款时应当在备注信息中注明本项目的编号及用途（如“项目编号，谈判保证金”），以便采购机构的财务人员查证入账。采取</w:t>
      </w:r>
      <w:r>
        <w:rPr>
          <w:rFonts w:ascii="宋体" w:hAnsi="宋体"/>
          <w:bCs/>
          <w:sz w:val="28"/>
          <w:szCs w:val="28"/>
          <w:lang w:val="zh-CN"/>
        </w:rPr>
        <w:t>银行保函</w:t>
      </w:r>
      <w:r>
        <w:rPr>
          <w:rFonts w:hint="eastAsia" w:ascii="宋体" w:hAnsi="宋体"/>
          <w:bCs/>
          <w:sz w:val="28"/>
          <w:szCs w:val="28"/>
          <w:lang w:val="zh-CN"/>
        </w:rPr>
        <w:t>方式缴纳的，应当提供</w:t>
      </w:r>
      <w:r>
        <w:rPr>
          <w:rFonts w:ascii="宋体" w:hAnsi="宋体"/>
          <w:bCs/>
          <w:sz w:val="28"/>
          <w:szCs w:val="28"/>
          <w:lang w:val="zh-CN"/>
        </w:rPr>
        <w:t>1份银行保函原件，谈判时单独</w:t>
      </w:r>
      <w:r>
        <w:rPr>
          <w:rFonts w:hint="eastAsia" w:ascii="宋体" w:hAnsi="宋体"/>
          <w:bCs/>
          <w:sz w:val="28"/>
          <w:szCs w:val="28"/>
          <w:lang w:val="zh-CN"/>
        </w:rPr>
        <w:t>提</w:t>
      </w:r>
      <w:r>
        <w:rPr>
          <w:rFonts w:ascii="宋体" w:hAnsi="宋体"/>
          <w:bCs/>
          <w:sz w:val="28"/>
          <w:szCs w:val="28"/>
          <w:lang w:val="zh-CN"/>
        </w:rPr>
        <w:t>交。</w:t>
      </w:r>
    </w:p>
    <w:p>
      <w:pPr>
        <w:adjustRightInd w:val="0"/>
        <w:snapToGrid w:val="0"/>
        <w:spacing w:line="560" w:lineRule="exact"/>
        <w:ind w:firstLine="560" w:firstLineChars="200"/>
        <w:rPr>
          <w:rFonts w:ascii="宋体" w:hAnsi="宋体"/>
          <w:bCs/>
          <w:sz w:val="28"/>
          <w:szCs w:val="28"/>
        </w:rPr>
      </w:pPr>
      <w:r>
        <w:rPr>
          <w:rFonts w:ascii="宋体" w:hAnsi="宋体"/>
          <w:bCs/>
          <w:sz w:val="28"/>
          <w:szCs w:val="28"/>
          <w:lang w:val="zh-CN"/>
        </w:rPr>
        <w:t>17.3</w:t>
      </w:r>
      <w:r>
        <w:rPr>
          <w:rFonts w:ascii="宋体" w:hAnsi="宋体"/>
          <w:bCs/>
          <w:sz w:val="28"/>
          <w:szCs w:val="28"/>
        </w:rPr>
        <w:t>成交供应商的谈判保证金，在签订正式合同后5个工作日内全额无息退还。未成交供应商的谈判保证金，将在采购机构发出未成交通知书后5个工作日内全额无息退还。</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17.4有下列情况之一的，谈判保证金将不予退还：</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报价</w:t>
      </w:r>
      <w:r>
        <w:rPr>
          <w:rFonts w:ascii="宋体" w:hAnsi="宋体"/>
          <w:bCs/>
          <w:sz w:val="28"/>
          <w:szCs w:val="28"/>
        </w:rPr>
        <w:t>供应商</w:t>
      </w:r>
      <w:r>
        <w:rPr>
          <w:rFonts w:hint="eastAsia" w:ascii="宋体" w:hAnsi="宋体"/>
          <w:bCs/>
          <w:sz w:val="28"/>
          <w:szCs w:val="28"/>
        </w:rPr>
        <w:t>在提交首次报价文件截止时间</w:t>
      </w:r>
      <w:r>
        <w:rPr>
          <w:rFonts w:ascii="宋体" w:hAnsi="宋体"/>
          <w:bCs/>
          <w:sz w:val="28"/>
          <w:szCs w:val="28"/>
        </w:rPr>
        <w:t>后</w:t>
      </w:r>
      <w:r>
        <w:rPr>
          <w:rFonts w:hint="eastAsia" w:ascii="宋体" w:hAnsi="宋体"/>
          <w:bCs/>
          <w:sz w:val="28"/>
          <w:szCs w:val="28"/>
        </w:rPr>
        <w:t>，</w:t>
      </w:r>
      <w:r>
        <w:rPr>
          <w:rFonts w:ascii="宋体" w:hAnsi="宋体"/>
          <w:bCs/>
          <w:sz w:val="28"/>
          <w:szCs w:val="28"/>
        </w:rPr>
        <w:t>在谈判有效期内撤回其报价文件的；</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报价</w:t>
      </w:r>
      <w:r>
        <w:rPr>
          <w:rFonts w:ascii="宋体" w:hAnsi="宋体"/>
          <w:bCs/>
          <w:sz w:val="28"/>
          <w:szCs w:val="28"/>
        </w:rPr>
        <w:t>供应商干扰</w:t>
      </w:r>
      <w:r>
        <w:rPr>
          <w:rFonts w:hint="eastAsia" w:ascii="宋体" w:hAnsi="宋体"/>
          <w:bCs/>
          <w:sz w:val="28"/>
          <w:szCs w:val="28"/>
        </w:rPr>
        <w:t>谈判或评审</w:t>
      </w:r>
      <w:r>
        <w:rPr>
          <w:rFonts w:ascii="宋体" w:hAnsi="宋体"/>
          <w:bCs/>
          <w:sz w:val="28"/>
          <w:szCs w:val="28"/>
        </w:rPr>
        <w:t>活动，造成严重影响和后果的；</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3）虚假</w:t>
      </w:r>
      <w:r>
        <w:rPr>
          <w:rFonts w:hint="eastAsia" w:ascii="宋体" w:hAnsi="宋体"/>
          <w:bCs/>
          <w:sz w:val="28"/>
          <w:szCs w:val="28"/>
        </w:rPr>
        <w:t>报价或恶意</w:t>
      </w:r>
      <w:r>
        <w:rPr>
          <w:rFonts w:ascii="宋体" w:hAnsi="宋体"/>
          <w:bCs/>
          <w:sz w:val="28"/>
          <w:szCs w:val="28"/>
        </w:rPr>
        <w:t>串通的；</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4）成交</w:t>
      </w:r>
      <w:r>
        <w:rPr>
          <w:rFonts w:hint="eastAsia" w:ascii="宋体" w:hAnsi="宋体"/>
          <w:bCs/>
          <w:sz w:val="28"/>
          <w:szCs w:val="28"/>
        </w:rPr>
        <w:t>（预成交）</w:t>
      </w:r>
      <w:r>
        <w:rPr>
          <w:rFonts w:ascii="宋体" w:hAnsi="宋体"/>
          <w:bCs/>
          <w:sz w:val="28"/>
          <w:szCs w:val="28"/>
        </w:rPr>
        <w:t>供应商无正当理由放弃成交的；</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5）</w:t>
      </w:r>
      <w:r>
        <w:rPr>
          <w:rFonts w:hint="eastAsia" w:ascii="宋体" w:hAnsi="宋体"/>
          <w:bCs/>
          <w:sz w:val="28"/>
          <w:szCs w:val="28"/>
        </w:rPr>
        <w:t>成交供应商无正当理由不与采购单位订立合同，在签订合同时向采购单位提出附加条件，或不按照谈判文件要求提交履约保证金的</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6）其他违反国家和军队法律法规行为的。</w:t>
      </w:r>
      <w:bookmarkStart w:id="156" w:name="_Toc112317770"/>
    </w:p>
    <w:p>
      <w:pPr>
        <w:pStyle w:val="5"/>
        <w:keepNext w:val="0"/>
        <w:keepLines w:val="0"/>
        <w:adjustRightInd w:val="0"/>
        <w:snapToGrid w:val="0"/>
        <w:spacing w:before="120" w:beforeLines="50" w:after="120" w:afterLines="50" w:line="560" w:lineRule="exact"/>
        <w:jc w:val="center"/>
        <w:rPr>
          <w:b w:val="0"/>
        </w:rPr>
      </w:pPr>
      <w:bookmarkStart w:id="157" w:name="_Toc26260"/>
      <w:bookmarkStart w:id="158" w:name="_Toc17138"/>
      <w:bookmarkStart w:id="159" w:name="_Toc112768400"/>
      <w:bookmarkStart w:id="160" w:name="_Toc2551"/>
      <w:bookmarkStart w:id="161" w:name="_Toc28556"/>
      <w:bookmarkStart w:id="162" w:name="_Toc132191225"/>
      <w:bookmarkStart w:id="163" w:name="_Toc1834"/>
      <w:bookmarkStart w:id="164" w:name="_Toc31844"/>
      <w:r>
        <w:rPr>
          <w:rFonts w:hint="eastAsia"/>
          <w:b w:val="0"/>
        </w:rPr>
        <w:t>四、报价文件提交</w:t>
      </w:r>
      <w:bookmarkEnd w:id="156"/>
      <w:bookmarkEnd w:id="157"/>
      <w:bookmarkEnd w:id="158"/>
      <w:bookmarkEnd w:id="159"/>
      <w:bookmarkEnd w:id="160"/>
      <w:bookmarkEnd w:id="161"/>
      <w:bookmarkEnd w:id="162"/>
      <w:bookmarkEnd w:id="163"/>
      <w:bookmarkEnd w:id="164"/>
    </w:p>
    <w:p>
      <w:pPr>
        <w:pStyle w:val="6"/>
        <w:keepNext w:val="0"/>
        <w:keepLines w:val="0"/>
        <w:adjustRightInd w:val="0"/>
        <w:snapToGrid w:val="0"/>
        <w:spacing w:before="0" w:after="0" w:line="560" w:lineRule="exact"/>
        <w:ind w:firstLine="560" w:firstLineChars="200"/>
        <w:rPr>
          <w:rFonts w:ascii="黑体" w:hAnsi="黑体"/>
          <w:b w:val="0"/>
        </w:rPr>
      </w:pPr>
      <w:bookmarkStart w:id="165" w:name="_Toc112768401"/>
      <w:bookmarkStart w:id="166" w:name="_Toc13473"/>
      <w:bookmarkStart w:id="167" w:name="_Toc7142"/>
      <w:bookmarkStart w:id="168" w:name="_Toc16757"/>
      <w:bookmarkStart w:id="169" w:name="_Toc9678"/>
      <w:bookmarkStart w:id="170" w:name="_Toc28622"/>
      <w:r>
        <w:rPr>
          <w:rFonts w:ascii="黑体" w:hAnsi="黑体"/>
          <w:b w:val="0"/>
        </w:rPr>
        <w:t>18.</w:t>
      </w:r>
      <w:r>
        <w:rPr>
          <w:rFonts w:hint="eastAsia" w:ascii="黑体" w:hAnsi="黑体"/>
          <w:b w:val="0"/>
        </w:rPr>
        <w:t>报价文件密封及标记</w:t>
      </w:r>
      <w:bookmarkEnd w:id="165"/>
      <w:bookmarkEnd w:id="166"/>
      <w:bookmarkEnd w:id="167"/>
      <w:bookmarkEnd w:id="168"/>
      <w:bookmarkEnd w:id="169"/>
      <w:bookmarkEnd w:id="170"/>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18.1</w:t>
      </w:r>
      <w:r>
        <w:rPr>
          <w:rFonts w:hint="eastAsia" w:ascii="宋体" w:hAnsi="宋体"/>
          <w:bCs/>
          <w:sz w:val="28"/>
          <w:szCs w:val="28"/>
        </w:rPr>
        <w:t>报价文件中“价格文件”应当与“商务技术文件”和“资格证明文件”分开单独密封包装，并在封套的封口处加盖报价供应商公章。</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18.2</w:t>
      </w:r>
      <w:r>
        <w:rPr>
          <w:rFonts w:hint="eastAsia" w:ascii="宋体" w:hAnsi="宋体"/>
          <w:bCs/>
          <w:sz w:val="28"/>
          <w:szCs w:val="28"/>
        </w:rPr>
        <w:t>报价文件封套上应当写明</w:t>
      </w:r>
      <w:r>
        <w:rPr>
          <w:rFonts w:ascii="宋体" w:hAnsi="宋体"/>
          <w:bCs/>
          <w:sz w:val="28"/>
          <w:szCs w:val="28"/>
        </w:rPr>
        <w:t>项目名称、项目编号、包号、</w:t>
      </w:r>
      <w:r>
        <w:rPr>
          <w:rFonts w:hint="eastAsia" w:ascii="宋体" w:hAnsi="宋体"/>
          <w:bCs/>
          <w:sz w:val="28"/>
          <w:szCs w:val="28"/>
        </w:rPr>
        <w:t>报价</w:t>
      </w:r>
      <w:r>
        <w:rPr>
          <w:rFonts w:ascii="宋体" w:hAnsi="宋体"/>
          <w:bCs/>
          <w:sz w:val="28"/>
          <w:szCs w:val="28"/>
        </w:rPr>
        <w:t>供应商名称</w:t>
      </w:r>
      <w:r>
        <w:rPr>
          <w:rFonts w:hint="eastAsia" w:ascii="宋体" w:hAnsi="宋体"/>
          <w:bCs/>
          <w:sz w:val="28"/>
          <w:szCs w:val="28"/>
        </w:rPr>
        <w:t>，以及“价格文件”“商务技术文件”或“资格证明文件”</w:t>
      </w:r>
      <w:r>
        <w:rPr>
          <w:rFonts w:ascii="宋体" w:hAnsi="宋体"/>
          <w:bCs/>
          <w:sz w:val="28"/>
          <w:szCs w:val="28"/>
        </w:rPr>
        <w:t>和“</w:t>
      </w:r>
      <w:r>
        <w:rPr>
          <w:rFonts w:hint="eastAsia" w:ascii="宋体" w:hAnsi="宋体"/>
          <w:bCs/>
          <w:sz w:val="28"/>
          <w:szCs w:val="28"/>
        </w:rPr>
        <w:t>谈判</w:t>
      </w:r>
      <w:r>
        <w:rPr>
          <w:rFonts w:ascii="宋体" w:hAnsi="宋体"/>
          <w:bCs/>
          <w:sz w:val="28"/>
          <w:szCs w:val="28"/>
        </w:rPr>
        <w:t>时启封”字样。</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18.3</w:t>
      </w:r>
      <w:r>
        <w:rPr>
          <w:rFonts w:hint="eastAsia" w:ascii="宋体" w:hAnsi="宋体"/>
          <w:bCs/>
          <w:sz w:val="28"/>
          <w:szCs w:val="28"/>
        </w:rPr>
        <w:t>报价</w:t>
      </w:r>
      <w:r>
        <w:rPr>
          <w:rFonts w:ascii="宋体" w:hAnsi="宋体"/>
          <w:bCs/>
          <w:sz w:val="28"/>
          <w:szCs w:val="28"/>
        </w:rPr>
        <w:t>供应商应当在</w:t>
      </w:r>
      <w:r>
        <w:rPr>
          <w:rFonts w:hint="eastAsia" w:ascii="宋体" w:hAnsi="宋体"/>
          <w:bCs/>
          <w:sz w:val="28"/>
          <w:szCs w:val="28"/>
          <w:lang w:val="zh-CN"/>
        </w:rPr>
        <w:t>【</w:t>
      </w:r>
      <w:r>
        <w:rPr>
          <w:rFonts w:hint="eastAsia" w:asciiTheme="minorEastAsia" w:hAnsiTheme="minorEastAsia" w:eastAsiaTheme="minorEastAsia"/>
          <w:bCs/>
          <w:sz w:val="28"/>
          <w:szCs w:val="28"/>
        </w:rPr>
        <w:t>报价供应商</w:t>
      </w:r>
      <w:r>
        <w:rPr>
          <w:rFonts w:hint="eastAsia" w:ascii="宋体" w:hAnsi="宋体"/>
          <w:bCs/>
          <w:sz w:val="28"/>
          <w:szCs w:val="28"/>
          <w:lang w:val="zh-CN"/>
        </w:rPr>
        <w:t>须知前附表】</w:t>
      </w:r>
      <w:r>
        <w:rPr>
          <w:rFonts w:hint="eastAsia" w:asciiTheme="minorEastAsia" w:hAnsiTheme="minorEastAsia" w:eastAsiaTheme="minorEastAsia"/>
          <w:bCs/>
          <w:sz w:val="28"/>
          <w:szCs w:val="28"/>
        </w:rPr>
        <w:t>明确</w:t>
      </w:r>
      <w:r>
        <w:rPr>
          <w:rFonts w:ascii="宋体" w:hAnsi="宋体"/>
          <w:bCs/>
          <w:sz w:val="28"/>
          <w:szCs w:val="28"/>
        </w:rPr>
        <w:t>的</w:t>
      </w:r>
      <w:r>
        <w:rPr>
          <w:rFonts w:hint="eastAsia" w:ascii="宋体" w:hAnsi="宋体"/>
          <w:bCs/>
          <w:sz w:val="28"/>
          <w:szCs w:val="28"/>
        </w:rPr>
        <w:t>提</w:t>
      </w:r>
      <w:r>
        <w:rPr>
          <w:rFonts w:ascii="宋体" w:hAnsi="宋体"/>
          <w:bCs/>
          <w:sz w:val="28"/>
          <w:szCs w:val="28"/>
        </w:rPr>
        <w:t>交</w:t>
      </w:r>
      <w:r>
        <w:rPr>
          <w:rFonts w:hint="eastAsia" w:ascii="宋体" w:hAnsi="宋体"/>
          <w:bCs/>
          <w:sz w:val="28"/>
          <w:szCs w:val="28"/>
        </w:rPr>
        <w:t>首次</w:t>
      </w:r>
      <w:r>
        <w:rPr>
          <w:rFonts w:ascii="宋体" w:hAnsi="宋体"/>
          <w:bCs/>
          <w:sz w:val="28"/>
          <w:szCs w:val="28"/>
        </w:rPr>
        <w:t>报价文件截止时间前，将报价文件送达采购机构指定地点。</w:t>
      </w:r>
      <w:bookmarkStart w:id="171" w:name="_Hlk112260229"/>
      <w:r>
        <w:rPr>
          <w:rFonts w:ascii="宋体" w:hAnsi="宋体"/>
          <w:bCs/>
          <w:sz w:val="28"/>
          <w:szCs w:val="28"/>
        </w:rPr>
        <w:t>逾期</w:t>
      </w:r>
      <w:r>
        <w:rPr>
          <w:rFonts w:hint="eastAsia" w:ascii="宋体" w:hAnsi="宋体"/>
          <w:bCs/>
          <w:sz w:val="28"/>
          <w:szCs w:val="28"/>
        </w:rPr>
        <w:t>提</w:t>
      </w:r>
      <w:r>
        <w:rPr>
          <w:rFonts w:ascii="宋体" w:hAnsi="宋体"/>
          <w:bCs/>
          <w:sz w:val="28"/>
          <w:szCs w:val="28"/>
        </w:rPr>
        <w:t>交</w:t>
      </w:r>
      <w:r>
        <w:rPr>
          <w:rFonts w:hint="eastAsia" w:ascii="宋体" w:hAnsi="宋体"/>
          <w:bCs/>
          <w:sz w:val="28"/>
          <w:szCs w:val="28"/>
        </w:rPr>
        <w:t>的报价文件</w:t>
      </w:r>
      <w:r>
        <w:rPr>
          <w:rFonts w:ascii="宋体" w:hAnsi="宋体"/>
          <w:bCs/>
          <w:sz w:val="28"/>
          <w:szCs w:val="28"/>
        </w:rPr>
        <w:t>，采购机构将拒收</w:t>
      </w:r>
      <w:bookmarkEnd w:id="171"/>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18.4电报、电话、电传、邮寄等形式的报价文件概不接</w:t>
      </w:r>
      <w:r>
        <w:rPr>
          <w:rFonts w:hint="eastAsia" w:ascii="宋体" w:hAnsi="宋体"/>
          <w:bCs/>
          <w:sz w:val="28"/>
          <w:szCs w:val="28"/>
        </w:rPr>
        <w:t>收</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18.5报价文件未按要求密封、标记的，采购机构将拒收。</w:t>
      </w:r>
    </w:p>
    <w:p>
      <w:pPr>
        <w:pStyle w:val="6"/>
        <w:keepNext w:val="0"/>
        <w:keepLines w:val="0"/>
        <w:adjustRightInd w:val="0"/>
        <w:snapToGrid w:val="0"/>
        <w:spacing w:before="0" w:after="0" w:line="560" w:lineRule="exact"/>
        <w:ind w:firstLine="560" w:firstLineChars="200"/>
        <w:rPr>
          <w:rFonts w:ascii="黑体" w:hAnsi="黑体"/>
          <w:b w:val="0"/>
        </w:rPr>
      </w:pPr>
      <w:bookmarkStart w:id="172" w:name="_Toc7126"/>
      <w:bookmarkStart w:id="173" w:name="_Toc3846"/>
      <w:bookmarkStart w:id="174" w:name="_Toc29345"/>
      <w:bookmarkStart w:id="175" w:name="_Toc18991"/>
      <w:bookmarkStart w:id="176" w:name="_Toc17963"/>
      <w:bookmarkStart w:id="177" w:name="_Toc112768402"/>
      <w:r>
        <w:rPr>
          <w:rFonts w:ascii="黑体" w:hAnsi="黑体"/>
          <w:b w:val="0"/>
        </w:rPr>
        <w:t>19.</w:t>
      </w:r>
      <w:r>
        <w:rPr>
          <w:rFonts w:hint="eastAsia" w:ascii="黑体" w:hAnsi="黑体"/>
          <w:b w:val="0"/>
        </w:rPr>
        <w:t>报价文件的修改和撤回</w:t>
      </w:r>
      <w:bookmarkEnd w:id="172"/>
      <w:bookmarkEnd w:id="173"/>
      <w:bookmarkEnd w:id="174"/>
      <w:bookmarkEnd w:id="175"/>
      <w:bookmarkEnd w:id="176"/>
      <w:bookmarkEnd w:id="177"/>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19.1</w:t>
      </w:r>
      <w:r>
        <w:rPr>
          <w:rFonts w:hint="eastAsia" w:ascii="宋体" w:hAnsi="宋体"/>
          <w:bCs/>
          <w:sz w:val="28"/>
          <w:szCs w:val="28"/>
          <w:lang w:val="zh-CN"/>
        </w:rPr>
        <w:t>报价</w:t>
      </w:r>
      <w:r>
        <w:rPr>
          <w:rFonts w:ascii="宋体" w:hAnsi="宋体"/>
          <w:bCs/>
          <w:sz w:val="28"/>
          <w:szCs w:val="28"/>
          <w:lang w:val="zh-CN"/>
        </w:rPr>
        <w:t>供应商在</w:t>
      </w:r>
      <w:r>
        <w:rPr>
          <w:rFonts w:hint="eastAsia" w:ascii="宋体" w:hAnsi="宋体"/>
          <w:bCs/>
          <w:sz w:val="28"/>
          <w:szCs w:val="28"/>
          <w:lang w:val="zh-CN"/>
        </w:rPr>
        <w:t>提</w:t>
      </w:r>
      <w:r>
        <w:rPr>
          <w:rFonts w:ascii="宋体" w:hAnsi="宋体"/>
          <w:bCs/>
          <w:sz w:val="28"/>
          <w:szCs w:val="28"/>
        </w:rPr>
        <w:t>交</w:t>
      </w:r>
      <w:r>
        <w:rPr>
          <w:rFonts w:hint="eastAsia" w:ascii="宋体" w:hAnsi="宋体"/>
          <w:bCs/>
          <w:sz w:val="28"/>
          <w:szCs w:val="28"/>
        </w:rPr>
        <w:t>首次</w:t>
      </w:r>
      <w:r>
        <w:rPr>
          <w:rFonts w:ascii="宋体" w:hAnsi="宋体"/>
          <w:bCs/>
          <w:sz w:val="28"/>
          <w:szCs w:val="28"/>
        </w:rPr>
        <w:t>报价文件截止时间</w:t>
      </w:r>
      <w:r>
        <w:rPr>
          <w:rFonts w:ascii="宋体" w:hAnsi="宋体"/>
          <w:bCs/>
          <w:sz w:val="28"/>
          <w:szCs w:val="28"/>
          <w:lang w:val="zh-CN"/>
        </w:rPr>
        <w:t>前，可以对提交的报价文件进行补充、修改或撤回</w:t>
      </w:r>
      <w:r>
        <w:rPr>
          <w:rFonts w:hint="eastAsia" w:ascii="宋体" w:hAnsi="宋体"/>
          <w:bCs/>
          <w:sz w:val="28"/>
          <w:szCs w:val="28"/>
          <w:lang w:val="zh-CN"/>
        </w:rPr>
        <w:t>，</w:t>
      </w:r>
      <w:r>
        <w:rPr>
          <w:rFonts w:ascii="宋体" w:hAnsi="宋体"/>
          <w:bCs/>
          <w:sz w:val="28"/>
          <w:szCs w:val="28"/>
          <w:lang w:val="zh-CN"/>
        </w:rPr>
        <w:t>补充</w:t>
      </w:r>
      <w:r>
        <w:rPr>
          <w:rFonts w:hint="eastAsia" w:ascii="宋体" w:hAnsi="宋体"/>
          <w:bCs/>
          <w:sz w:val="28"/>
          <w:szCs w:val="28"/>
          <w:lang w:val="zh-CN"/>
        </w:rPr>
        <w:t>或</w:t>
      </w:r>
      <w:r>
        <w:rPr>
          <w:rFonts w:ascii="宋体" w:hAnsi="宋体"/>
          <w:bCs/>
          <w:sz w:val="28"/>
          <w:szCs w:val="28"/>
          <w:lang w:val="zh-CN"/>
        </w:rPr>
        <w:t>修改的内容应当以书面形式</w:t>
      </w:r>
      <w:r>
        <w:rPr>
          <w:rFonts w:hint="eastAsia" w:ascii="宋体" w:hAnsi="宋体"/>
          <w:bCs/>
          <w:sz w:val="28"/>
          <w:szCs w:val="28"/>
          <w:lang w:val="zh-CN"/>
        </w:rPr>
        <w:t>提交</w:t>
      </w:r>
      <w:r>
        <w:rPr>
          <w:rFonts w:ascii="宋体" w:hAnsi="宋体"/>
          <w:bCs/>
          <w:sz w:val="28"/>
          <w:szCs w:val="28"/>
          <w:lang w:val="zh-CN"/>
        </w:rPr>
        <w:t>采购机构，并按照谈判文件要求</w:t>
      </w:r>
      <w:r>
        <w:rPr>
          <w:rFonts w:hint="eastAsia" w:ascii="宋体" w:hAnsi="宋体"/>
          <w:bCs/>
          <w:sz w:val="28"/>
          <w:szCs w:val="28"/>
          <w:lang w:val="zh-CN"/>
        </w:rPr>
        <w:t>签字</w:t>
      </w:r>
      <w:r>
        <w:rPr>
          <w:rFonts w:ascii="宋体" w:hAnsi="宋体"/>
          <w:bCs/>
          <w:sz w:val="28"/>
          <w:szCs w:val="28"/>
          <w:lang w:val="zh-CN"/>
        </w:rPr>
        <w:t>盖章，作为报价文件的组成部分。</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19.2</w:t>
      </w:r>
      <w:r>
        <w:rPr>
          <w:rFonts w:hint="eastAsia" w:ascii="宋体" w:hAnsi="宋体"/>
          <w:bCs/>
          <w:sz w:val="28"/>
          <w:szCs w:val="28"/>
        </w:rPr>
        <w:t>报价</w:t>
      </w:r>
      <w:r>
        <w:rPr>
          <w:rFonts w:hint="eastAsia" w:ascii="宋体" w:hAnsi="宋体"/>
          <w:bCs/>
          <w:sz w:val="28"/>
          <w:szCs w:val="28"/>
          <w:lang w:val="zh-CN"/>
        </w:rPr>
        <w:t>截止时间后，</w:t>
      </w:r>
      <w:r>
        <w:rPr>
          <w:rFonts w:ascii="宋体" w:hAnsi="宋体"/>
          <w:bCs/>
          <w:sz w:val="28"/>
          <w:szCs w:val="28"/>
          <w:lang w:val="zh-CN"/>
        </w:rPr>
        <w:t>采购机构不接受对</w:t>
      </w:r>
      <w:r>
        <w:rPr>
          <w:rFonts w:hint="eastAsia" w:ascii="宋体" w:hAnsi="宋体"/>
          <w:bCs/>
          <w:sz w:val="28"/>
          <w:szCs w:val="28"/>
        </w:rPr>
        <w:t>报价文件</w:t>
      </w:r>
      <w:r>
        <w:rPr>
          <w:rFonts w:ascii="宋体" w:hAnsi="宋体"/>
          <w:bCs/>
          <w:sz w:val="28"/>
          <w:szCs w:val="28"/>
          <w:lang w:val="zh-CN"/>
        </w:rPr>
        <w:t>内容的实质性修改</w:t>
      </w:r>
      <w:r>
        <w:rPr>
          <w:rFonts w:hint="eastAsia" w:ascii="宋体" w:hAnsi="宋体"/>
          <w:bCs/>
          <w:sz w:val="28"/>
          <w:szCs w:val="28"/>
          <w:lang w:val="zh-CN"/>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lang w:val="zh-CN"/>
        </w:rPr>
        <w:t>19.</w:t>
      </w:r>
      <w:r>
        <w:rPr>
          <w:rFonts w:ascii="宋体" w:hAnsi="宋体"/>
          <w:bCs/>
          <w:sz w:val="28"/>
          <w:szCs w:val="28"/>
        </w:rPr>
        <w:t>3</w:t>
      </w:r>
      <w:r>
        <w:rPr>
          <w:rFonts w:hint="eastAsia" w:ascii="宋体" w:hAnsi="宋体"/>
          <w:bCs/>
          <w:sz w:val="28"/>
          <w:szCs w:val="28"/>
        </w:rPr>
        <w:t>报价</w:t>
      </w:r>
      <w:r>
        <w:rPr>
          <w:rFonts w:ascii="宋体" w:hAnsi="宋体"/>
          <w:bCs/>
          <w:sz w:val="28"/>
          <w:szCs w:val="28"/>
          <w:lang w:val="zh-CN"/>
        </w:rPr>
        <w:t>供应商修改报价文件的书面材料，</w:t>
      </w:r>
      <w:r>
        <w:rPr>
          <w:rFonts w:hint="eastAsia" w:ascii="宋体" w:hAnsi="宋体"/>
          <w:bCs/>
          <w:sz w:val="28"/>
          <w:szCs w:val="28"/>
        </w:rPr>
        <w:t>应当</w:t>
      </w:r>
      <w:r>
        <w:rPr>
          <w:rFonts w:ascii="宋体" w:hAnsi="宋体"/>
          <w:bCs/>
          <w:sz w:val="28"/>
          <w:szCs w:val="28"/>
        </w:rPr>
        <w:t>密封送达谈判地点，并在封面上标明项目名称、项目编号、</w:t>
      </w:r>
      <w:r>
        <w:rPr>
          <w:rFonts w:hint="eastAsia" w:ascii="宋体" w:hAnsi="宋体"/>
          <w:bCs/>
          <w:sz w:val="28"/>
          <w:szCs w:val="28"/>
        </w:rPr>
        <w:t>报价</w:t>
      </w:r>
      <w:r>
        <w:rPr>
          <w:rFonts w:ascii="宋体" w:hAnsi="宋体"/>
          <w:bCs/>
          <w:sz w:val="28"/>
          <w:szCs w:val="28"/>
        </w:rPr>
        <w:t>供应商名称和</w:t>
      </w:r>
      <w:r>
        <w:rPr>
          <w:rFonts w:hint="eastAsia" w:ascii="宋体" w:hAnsi="宋体"/>
          <w:bCs/>
          <w:sz w:val="28"/>
          <w:szCs w:val="28"/>
        </w:rPr>
        <w:t>“</w:t>
      </w:r>
      <w:r>
        <w:rPr>
          <w:rFonts w:ascii="宋体" w:hAnsi="宋体"/>
          <w:bCs/>
          <w:sz w:val="28"/>
          <w:szCs w:val="28"/>
        </w:rPr>
        <w:t>谈判修改文件</w:t>
      </w:r>
      <w:r>
        <w:rPr>
          <w:rFonts w:hint="eastAsia" w:ascii="宋体" w:hAnsi="宋体"/>
          <w:bCs/>
          <w:sz w:val="28"/>
          <w:szCs w:val="28"/>
        </w:rPr>
        <w:t>”</w:t>
      </w:r>
      <w:r>
        <w:rPr>
          <w:rFonts w:ascii="宋体" w:hAnsi="宋体"/>
          <w:bCs/>
          <w:sz w:val="28"/>
          <w:szCs w:val="28"/>
        </w:rPr>
        <w:t>“谈判时启封”字样。</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19.4</w:t>
      </w:r>
      <w:r>
        <w:rPr>
          <w:rFonts w:hint="eastAsia" w:ascii="宋体" w:hAnsi="宋体"/>
          <w:bCs/>
          <w:sz w:val="28"/>
          <w:szCs w:val="28"/>
        </w:rPr>
        <w:t>报价</w:t>
      </w:r>
      <w:r>
        <w:rPr>
          <w:rFonts w:ascii="宋体" w:hAnsi="宋体"/>
          <w:bCs/>
          <w:sz w:val="28"/>
          <w:szCs w:val="28"/>
        </w:rPr>
        <w:t>供应商撤回</w:t>
      </w:r>
      <w:r>
        <w:rPr>
          <w:rFonts w:hint="eastAsia" w:ascii="宋体" w:hAnsi="宋体"/>
          <w:bCs/>
          <w:sz w:val="28"/>
          <w:szCs w:val="28"/>
        </w:rPr>
        <w:t>报价文件</w:t>
      </w:r>
      <w:r>
        <w:rPr>
          <w:rFonts w:ascii="宋体" w:hAnsi="宋体"/>
          <w:bCs/>
          <w:sz w:val="28"/>
          <w:szCs w:val="28"/>
        </w:rPr>
        <w:t>应当以书面形式通知采购机构。采取电报或传真形式撤回谈判的，</w:t>
      </w:r>
      <w:r>
        <w:rPr>
          <w:rFonts w:hint="eastAsia" w:ascii="宋体" w:hAnsi="宋体"/>
          <w:bCs/>
          <w:sz w:val="28"/>
          <w:szCs w:val="28"/>
        </w:rPr>
        <w:t>应当</w:t>
      </w:r>
      <w:r>
        <w:rPr>
          <w:rFonts w:ascii="宋体" w:hAnsi="宋体"/>
          <w:bCs/>
          <w:sz w:val="28"/>
          <w:szCs w:val="28"/>
        </w:rPr>
        <w:t>补充法定代表人或授权代表</w:t>
      </w:r>
      <w:r>
        <w:rPr>
          <w:rFonts w:hint="eastAsia" w:ascii="宋体" w:hAnsi="宋体"/>
          <w:bCs/>
          <w:sz w:val="28"/>
          <w:szCs w:val="28"/>
        </w:rPr>
        <w:t>签字</w:t>
      </w:r>
      <w:r>
        <w:rPr>
          <w:rFonts w:ascii="宋体" w:hAnsi="宋体"/>
          <w:bCs/>
          <w:sz w:val="28"/>
          <w:szCs w:val="28"/>
        </w:rPr>
        <w:t>的撤回</w:t>
      </w:r>
      <w:r>
        <w:rPr>
          <w:rFonts w:hint="eastAsia" w:ascii="宋体" w:hAnsi="宋体"/>
          <w:bCs/>
          <w:sz w:val="28"/>
          <w:szCs w:val="28"/>
        </w:rPr>
        <w:t>报价文件</w:t>
      </w:r>
      <w:r>
        <w:rPr>
          <w:rFonts w:ascii="宋体" w:hAnsi="宋体"/>
          <w:bCs/>
          <w:sz w:val="28"/>
          <w:szCs w:val="28"/>
        </w:rPr>
        <w:t>的正式文件。撤回</w:t>
      </w:r>
      <w:r>
        <w:rPr>
          <w:rFonts w:hint="eastAsia" w:ascii="宋体" w:hAnsi="宋体"/>
          <w:bCs/>
          <w:sz w:val="28"/>
          <w:szCs w:val="28"/>
        </w:rPr>
        <w:t>报价文件</w:t>
      </w:r>
      <w:r>
        <w:rPr>
          <w:rFonts w:ascii="宋体" w:hAnsi="宋体"/>
          <w:bCs/>
          <w:sz w:val="28"/>
          <w:szCs w:val="28"/>
        </w:rPr>
        <w:t>的时间以</w:t>
      </w:r>
      <w:r>
        <w:rPr>
          <w:rFonts w:hint="eastAsia" w:ascii="宋体" w:hAnsi="宋体"/>
          <w:bCs/>
          <w:sz w:val="28"/>
          <w:szCs w:val="28"/>
        </w:rPr>
        <w:t>报价</w:t>
      </w:r>
      <w:r>
        <w:rPr>
          <w:rFonts w:ascii="宋体" w:hAnsi="宋体"/>
          <w:bCs/>
          <w:sz w:val="28"/>
          <w:szCs w:val="28"/>
        </w:rPr>
        <w:t>供应商的书面撤回通知送达采购机构时间为准。</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19.5</w:t>
      </w:r>
      <w:r>
        <w:rPr>
          <w:rFonts w:hint="eastAsia" w:ascii="宋体" w:hAnsi="宋体"/>
          <w:bCs/>
          <w:sz w:val="28"/>
          <w:szCs w:val="28"/>
        </w:rPr>
        <w:t>提</w:t>
      </w:r>
      <w:r>
        <w:rPr>
          <w:rFonts w:ascii="宋体" w:hAnsi="宋体"/>
          <w:bCs/>
          <w:sz w:val="28"/>
          <w:szCs w:val="28"/>
        </w:rPr>
        <w:t>交</w:t>
      </w:r>
      <w:r>
        <w:rPr>
          <w:rFonts w:hint="eastAsia" w:ascii="宋体" w:hAnsi="宋体"/>
          <w:bCs/>
          <w:sz w:val="28"/>
          <w:szCs w:val="28"/>
        </w:rPr>
        <w:t>首次</w:t>
      </w:r>
      <w:r>
        <w:rPr>
          <w:rFonts w:ascii="宋体" w:hAnsi="宋体"/>
          <w:bCs/>
          <w:sz w:val="28"/>
          <w:szCs w:val="28"/>
        </w:rPr>
        <w:t>报价文件截止时间后，</w:t>
      </w:r>
      <w:r>
        <w:rPr>
          <w:rFonts w:hint="eastAsia" w:ascii="宋体" w:hAnsi="宋体"/>
          <w:bCs/>
          <w:sz w:val="28"/>
          <w:szCs w:val="28"/>
        </w:rPr>
        <w:t>报价</w:t>
      </w:r>
      <w:r>
        <w:rPr>
          <w:rFonts w:ascii="宋体" w:hAnsi="宋体"/>
          <w:bCs/>
          <w:sz w:val="28"/>
          <w:szCs w:val="28"/>
        </w:rPr>
        <w:t>供应商不得撤回</w:t>
      </w:r>
      <w:r>
        <w:rPr>
          <w:rFonts w:hint="eastAsia" w:ascii="宋体" w:hAnsi="宋体"/>
          <w:bCs/>
          <w:sz w:val="28"/>
          <w:szCs w:val="28"/>
        </w:rPr>
        <w:t>报价文件</w:t>
      </w:r>
      <w:r>
        <w:rPr>
          <w:rFonts w:ascii="宋体" w:hAnsi="宋体"/>
          <w:bCs/>
          <w:sz w:val="28"/>
          <w:szCs w:val="28"/>
        </w:rPr>
        <w:t>，否则谈判保证金不予退还。</w:t>
      </w:r>
      <w:bookmarkStart w:id="178" w:name="_Toc112317771"/>
    </w:p>
    <w:p>
      <w:pPr>
        <w:pStyle w:val="5"/>
        <w:keepNext w:val="0"/>
        <w:keepLines w:val="0"/>
        <w:adjustRightInd w:val="0"/>
        <w:snapToGrid w:val="0"/>
        <w:spacing w:before="120" w:beforeLines="50" w:after="120" w:afterLines="50" w:line="560" w:lineRule="exact"/>
        <w:jc w:val="center"/>
        <w:rPr>
          <w:b w:val="0"/>
        </w:rPr>
      </w:pPr>
      <w:bookmarkStart w:id="179" w:name="_Toc112768403"/>
      <w:bookmarkStart w:id="180" w:name="_Toc24471"/>
      <w:bookmarkStart w:id="181" w:name="_Toc4312"/>
      <w:bookmarkStart w:id="182" w:name="_Toc132191226"/>
      <w:bookmarkStart w:id="183" w:name="_Toc24026"/>
      <w:bookmarkStart w:id="184" w:name="_Toc7001"/>
      <w:bookmarkStart w:id="185" w:name="_Toc14953"/>
      <w:bookmarkStart w:id="186" w:name="_Toc4952"/>
      <w:r>
        <w:rPr>
          <w:rFonts w:hint="eastAsia"/>
          <w:b w:val="0"/>
        </w:rPr>
        <w:t>五、</w:t>
      </w:r>
      <w:bookmarkEnd w:id="178"/>
      <w:bookmarkEnd w:id="179"/>
      <w:bookmarkEnd w:id="180"/>
      <w:bookmarkEnd w:id="181"/>
      <w:bookmarkEnd w:id="182"/>
      <w:bookmarkEnd w:id="183"/>
      <w:bookmarkEnd w:id="184"/>
      <w:bookmarkEnd w:id="185"/>
      <w:r>
        <w:rPr>
          <w:rFonts w:hint="eastAsia"/>
          <w:b w:val="0"/>
        </w:rPr>
        <w:t>谈判与评审</w:t>
      </w:r>
      <w:bookmarkEnd w:id="186"/>
    </w:p>
    <w:p>
      <w:pPr>
        <w:pStyle w:val="6"/>
        <w:keepNext w:val="0"/>
        <w:keepLines w:val="0"/>
        <w:adjustRightInd w:val="0"/>
        <w:snapToGrid w:val="0"/>
        <w:spacing w:before="0" w:after="0" w:line="560" w:lineRule="exact"/>
        <w:ind w:firstLine="560" w:firstLineChars="200"/>
        <w:rPr>
          <w:rFonts w:ascii="黑体" w:hAnsi="黑体"/>
          <w:b w:val="0"/>
        </w:rPr>
      </w:pPr>
      <w:bookmarkStart w:id="187" w:name="_Toc2752"/>
      <w:bookmarkStart w:id="188" w:name="_Toc31840"/>
      <w:bookmarkStart w:id="189" w:name="_Toc20834"/>
      <w:bookmarkStart w:id="190" w:name="_Toc4028"/>
      <w:bookmarkStart w:id="191" w:name="_Toc15066"/>
      <w:bookmarkStart w:id="192" w:name="_Toc112768404"/>
      <w:r>
        <w:rPr>
          <w:rFonts w:hint="eastAsia" w:ascii="黑体" w:hAnsi="黑体"/>
          <w:b w:val="0"/>
        </w:rPr>
        <w:t>20.报价文件开启</w:t>
      </w:r>
    </w:p>
    <w:p>
      <w:pPr>
        <w:autoSpaceDE w:val="0"/>
        <w:autoSpaceDN w:val="0"/>
        <w:adjustRightInd w:val="0"/>
        <w:snapToGrid w:val="0"/>
        <w:spacing w:line="560" w:lineRule="exact"/>
        <w:ind w:firstLine="560" w:firstLineChars="200"/>
        <w:rPr>
          <w:rFonts w:ascii="宋体" w:hAnsi="宋体"/>
          <w:b/>
          <w:snapToGrid w:val="0"/>
          <w:lang w:val="zh-CN"/>
        </w:rPr>
      </w:pPr>
      <w:r>
        <w:rPr>
          <w:rFonts w:ascii="宋体" w:hAnsi="宋体"/>
          <w:bCs/>
          <w:snapToGrid w:val="0"/>
          <w:sz w:val="28"/>
          <w:szCs w:val="28"/>
          <w:lang w:val="zh-CN"/>
        </w:rPr>
        <w:t>20.1</w:t>
      </w:r>
      <w:r>
        <w:rPr>
          <w:rFonts w:hint="eastAsia" w:ascii="宋体" w:hAnsi="宋体"/>
          <w:bCs/>
          <w:sz w:val="28"/>
          <w:szCs w:val="28"/>
        </w:rPr>
        <w:t>成功提交报价文件的报价供应商不足</w:t>
      </w:r>
      <w:r>
        <w:rPr>
          <w:rFonts w:ascii="宋体" w:hAnsi="宋体"/>
          <w:bCs/>
          <w:sz w:val="28"/>
          <w:szCs w:val="28"/>
        </w:rPr>
        <w:t>3家的，</w:t>
      </w:r>
      <w:r>
        <w:rPr>
          <w:rFonts w:hint="eastAsia" w:ascii="宋体" w:hAnsi="宋体"/>
          <w:bCs/>
          <w:sz w:val="28"/>
          <w:szCs w:val="28"/>
        </w:rPr>
        <w:t>一般不得组织谈判，满足第</w:t>
      </w:r>
      <w:r>
        <w:rPr>
          <w:rFonts w:ascii="宋体" w:hAnsi="宋体"/>
          <w:bCs/>
          <w:sz w:val="28"/>
          <w:szCs w:val="28"/>
        </w:rPr>
        <w:t>41.1</w:t>
      </w:r>
      <w:r>
        <w:rPr>
          <w:rFonts w:hint="eastAsia" w:ascii="宋体" w:hAnsi="宋体"/>
          <w:bCs/>
          <w:sz w:val="28"/>
          <w:szCs w:val="28"/>
        </w:rPr>
        <w:t>条情形的除外。</w:t>
      </w:r>
      <w:r>
        <w:rPr>
          <w:rFonts w:ascii="宋体" w:hAnsi="宋体"/>
          <w:bCs/>
          <w:snapToGrid w:val="0"/>
          <w:sz w:val="28"/>
          <w:szCs w:val="28"/>
          <w:lang w:val="zh-CN"/>
        </w:rPr>
        <w:t>报价文件开启时间及地点见【</w:t>
      </w:r>
      <w:r>
        <w:rPr>
          <w:rFonts w:hint="eastAsia" w:asciiTheme="minorEastAsia" w:hAnsiTheme="minorEastAsia" w:eastAsiaTheme="minorEastAsia"/>
          <w:bCs/>
          <w:sz w:val="28"/>
          <w:szCs w:val="28"/>
        </w:rPr>
        <w:t>报价供应商</w:t>
      </w:r>
      <w:r>
        <w:rPr>
          <w:rFonts w:hint="eastAsia" w:ascii="宋体" w:hAnsi="宋体"/>
          <w:bCs/>
          <w:snapToGrid w:val="0"/>
          <w:sz w:val="28"/>
          <w:szCs w:val="28"/>
          <w:lang w:val="zh-CN"/>
        </w:rPr>
        <w:t>须知前附表】。</w:t>
      </w:r>
    </w:p>
    <w:p>
      <w:pPr>
        <w:pStyle w:val="6"/>
        <w:keepNext w:val="0"/>
        <w:keepLines w:val="0"/>
        <w:adjustRightInd w:val="0"/>
        <w:snapToGrid w:val="0"/>
        <w:spacing w:before="0" w:after="0" w:line="560" w:lineRule="exact"/>
        <w:ind w:firstLine="560" w:firstLineChars="200"/>
        <w:rPr>
          <w:rFonts w:ascii="黑体" w:hAnsi="黑体"/>
          <w:b w:val="0"/>
        </w:rPr>
      </w:pPr>
      <w:r>
        <w:rPr>
          <w:rFonts w:ascii="黑体" w:hAnsi="黑体"/>
          <w:b w:val="0"/>
        </w:rPr>
        <w:t>21.</w:t>
      </w:r>
      <w:r>
        <w:rPr>
          <w:rFonts w:hint="eastAsia" w:ascii="黑体" w:hAnsi="黑体"/>
          <w:b w:val="0"/>
        </w:rPr>
        <w:t>评审</w:t>
      </w:r>
      <w:bookmarkEnd w:id="187"/>
      <w:bookmarkEnd w:id="188"/>
      <w:bookmarkEnd w:id="189"/>
      <w:bookmarkEnd w:id="190"/>
      <w:bookmarkEnd w:id="191"/>
      <w:bookmarkEnd w:id="192"/>
      <w:r>
        <w:rPr>
          <w:rFonts w:hint="eastAsia" w:ascii="黑体" w:hAnsi="黑体"/>
          <w:b w:val="0"/>
        </w:rPr>
        <w:t>原则</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21.1评审原则</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1）评审活动遵循公平、公正、科学和择优的原则</w:t>
      </w:r>
      <w:r>
        <w:rPr>
          <w:rFonts w:hint="eastAsia" w:ascii="宋体" w:hAnsi="宋体"/>
          <w:bCs/>
          <w:sz w:val="28"/>
          <w:szCs w:val="28"/>
        </w:rPr>
        <w:t>。</w:t>
      </w:r>
    </w:p>
    <w:p>
      <w:pPr>
        <w:adjustRightInd w:val="0"/>
        <w:snapToGrid w:val="0"/>
        <w:spacing w:line="560" w:lineRule="exact"/>
        <w:ind w:firstLine="560" w:firstLineChars="200"/>
        <w:rPr>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）严格依据谈判文件规定的评审方法、程序和标准评审。不得以投票表决等形式修改谈判文件规定的评审方法、程序和标准；谈判文件</w:t>
      </w:r>
      <w:r>
        <w:rPr>
          <w:rFonts w:hint="eastAsia"/>
          <w:bCs/>
          <w:sz w:val="28"/>
          <w:szCs w:val="28"/>
        </w:rPr>
        <w:t>没有规定的评审方法、程序和标准，不得作为</w:t>
      </w:r>
      <w:r>
        <w:rPr>
          <w:rFonts w:hint="eastAsia" w:ascii="宋体" w:hAnsi="宋体"/>
          <w:bCs/>
          <w:sz w:val="28"/>
          <w:szCs w:val="28"/>
        </w:rPr>
        <w:t>评审</w:t>
      </w:r>
      <w:r>
        <w:rPr>
          <w:rFonts w:hint="eastAsia"/>
          <w:bCs/>
          <w:sz w:val="28"/>
          <w:szCs w:val="28"/>
        </w:rPr>
        <w:t>依据。</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3）对所有</w:t>
      </w:r>
      <w:r>
        <w:rPr>
          <w:rFonts w:hint="eastAsia" w:ascii="宋体" w:hAnsi="宋体"/>
          <w:bCs/>
          <w:sz w:val="28"/>
          <w:szCs w:val="28"/>
        </w:rPr>
        <w:t>报价文件的评审依据和评审尺度保持一致。</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4）</w:t>
      </w:r>
      <w:r>
        <w:rPr>
          <w:rFonts w:hint="eastAsia" w:ascii="宋体" w:hAnsi="宋体"/>
          <w:bCs/>
          <w:sz w:val="28"/>
          <w:szCs w:val="28"/>
        </w:rPr>
        <w:t>对谈判文件和报价文件的解释澄清，在不改变文件原义的前提下，应当以有利于报价供应商为原则。</w:t>
      </w:r>
    </w:p>
    <w:p>
      <w:pPr>
        <w:pStyle w:val="6"/>
        <w:keepNext w:val="0"/>
        <w:keepLines w:val="0"/>
        <w:adjustRightInd w:val="0"/>
        <w:snapToGrid w:val="0"/>
        <w:spacing w:before="0" w:after="0" w:line="560" w:lineRule="exact"/>
        <w:ind w:firstLine="560" w:firstLineChars="200"/>
        <w:rPr>
          <w:rFonts w:ascii="黑体" w:hAnsi="黑体"/>
          <w:b w:val="0"/>
        </w:rPr>
      </w:pPr>
      <w:r>
        <w:rPr>
          <w:rFonts w:hint="eastAsia" w:ascii="黑体" w:hAnsi="黑体"/>
          <w:b w:val="0"/>
        </w:rPr>
        <w:t>2</w:t>
      </w:r>
      <w:r>
        <w:rPr>
          <w:rFonts w:ascii="黑体" w:hAnsi="黑体"/>
          <w:b w:val="0"/>
        </w:rPr>
        <w:t>2.</w:t>
      </w:r>
      <w:r>
        <w:rPr>
          <w:rFonts w:hint="eastAsia" w:ascii="黑体" w:hAnsi="黑体"/>
          <w:b w:val="0"/>
        </w:rPr>
        <w:t>评审方法</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22.1评</w:t>
      </w:r>
      <w:r>
        <w:rPr>
          <w:rFonts w:hint="eastAsia" w:ascii="宋体" w:hAnsi="宋体"/>
          <w:bCs/>
          <w:sz w:val="28"/>
          <w:szCs w:val="28"/>
        </w:rPr>
        <w:t>审</w:t>
      </w:r>
      <w:r>
        <w:rPr>
          <w:rFonts w:ascii="宋体" w:hAnsi="宋体"/>
          <w:bCs/>
          <w:sz w:val="28"/>
          <w:szCs w:val="28"/>
        </w:rPr>
        <w:t>方法</w:t>
      </w:r>
    </w:p>
    <w:p>
      <w:pPr>
        <w:adjustRightInd w:val="0"/>
        <w:snapToGrid w:val="0"/>
        <w:spacing w:line="560" w:lineRule="exact"/>
        <w:ind w:firstLine="560" w:firstLineChars="200"/>
        <w:rPr>
          <w:rFonts w:ascii="宋体" w:hAnsi="宋体"/>
          <w:bCs/>
          <w:sz w:val="28"/>
          <w:szCs w:val="28"/>
        </w:rPr>
      </w:pPr>
      <w:r>
        <w:rPr>
          <w:rFonts w:hint="eastAsia" w:asciiTheme="minorEastAsia" w:hAnsiTheme="minorEastAsia" w:eastAsiaTheme="minorEastAsia"/>
          <w:bCs/>
          <w:sz w:val="28"/>
          <w:szCs w:val="28"/>
        </w:rPr>
        <w:t>采购机构在【报价供应商须知前附表】中明确采用下列一种评审方法：</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综合评分法，是指报价文件满足谈判文件资格性和符合性要求，将按照评审标准综合评审得分最高的报价供应商，作为预成交供应商的评审方法。采用百分制评分。</w:t>
      </w:r>
    </w:p>
    <w:p>
      <w:pPr>
        <w:adjustRightInd w:val="0"/>
        <w:snapToGrid w:val="0"/>
        <w:spacing w:line="560" w:lineRule="exact"/>
        <w:ind w:firstLine="560" w:firstLineChars="200"/>
        <w:rPr>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经评审的最低价法，是指报价文件满足谈判文件资格性和符合性要求，将报价最低的报价供应商，作为预成交供应商的评审方法。</w:t>
      </w:r>
    </w:p>
    <w:p>
      <w:pPr>
        <w:pStyle w:val="6"/>
        <w:keepNext w:val="0"/>
        <w:keepLines w:val="0"/>
        <w:adjustRightInd w:val="0"/>
        <w:snapToGrid w:val="0"/>
        <w:spacing w:before="0" w:after="0" w:line="560" w:lineRule="exact"/>
        <w:ind w:firstLine="560" w:firstLineChars="200"/>
        <w:rPr>
          <w:rFonts w:ascii="黑体" w:hAnsi="黑体"/>
          <w:b w:val="0"/>
        </w:rPr>
      </w:pPr>
      <w:bookmarkStart w:id="193" w:name="_Toc17122"/>
      <w:bookmarkStart w:id="194" w:name="_Toc30020"/>
      <w:bookmarkStart w:id="195" w:name="_Toc29240"/>
      <w:bookmarkStart w:id="196" w:name="_Toc13655"/>
      <w:bookmarkStart w:id="197" w:name="_Toc14078"/>
      <w:bookmarkStart w:id="198" w:name="_Toc112768406"/>
      <w:r>
        <w:rPr>
          <w:rFonts w:ascii="黑体" w:hAnsi="黑体"/>
          <w:b w:val="0"/>
        </w:rPr>
        <w:t>23</w:t>
      </w:r>
      <w:r>
        <w:rPr>
          <w:rFonts w:hint="eastAsia" w:ascii="黑体" w:hAnsi="黑体"/>
          <w:b w:val="0"/>
        </w:rPr>
        <w:t>.评审标准</w:t>
      </w:r>
      <w:bookmarkEnd w:id="193"/>
      <w:bookmarkEnd w:id="194"/>
      <w:bookmarkEnd w:id="195"/>
      <w:bookmarkEnd w:id="196"/>
      <w:bookmarkEnd w:id="197"/>
      <w:bookmarkEnd w:id="198"/>
    </w:p>
    <w:p>
      <w:pPr>
        <w:tabs>
          <w:tab w:val="left" w:pos="1020"/>
        </w:tabs>
        <w:adjustRightInd w:val="0"/>
        <w:snapToGrid w:val="0"/>
        <w:spacing w:line="560" w:lineRule="exact"/>
        <w:ind w:firstLine="560" w:firstLineChars="200"/>
        <w:rPr>
          <w:rFonts w:ascii="宋体" w:hAnsi="宋体"/>
          <w:bCs/>
          <w:sz w:val="28"/>
          <w:szCs w:val="28"/>
        </w:rPr>
      </w:pPr>
      <w:r>
        <w:rPr>
          <w:rFonts w:ascii="宋体" w:hAnsi="宋体"/>
          <w:bCs/>
          <w:sz w:val="28"/>
          <w:szCs w:val="28"/>
        </w:rPr>
        <w:t>23.1</w:t>
      </w:r>
      <w:r>
        <w:rPr>
          <w:rFonts w:hint="eastAsia" w:ascii="宋体" w:hAnsi="宋体"/>
          <w:bCs/>
          <w:sz w:val="28"/>
          <w:szCs w:val="28"/>
        </w:rPr>
        <w:t>资格性审查标准，见</w:t>
      </w:r>
      <w:r>
        <w:rPr>
          <w:rFonts w:hint="eastAsia" w:ascii="宋体" w:hAnsi="宋体"/>
          <w:bCs/>
          <w:sz w:val="28"/>
          <w:szCs w:val="28"/>
          <w:lang w:val="zh-CN"/>
        </w:rPr>
        <w:t>【</w:t>
      </w:r>
      <w:r>
        <w:rPr>
          <w:rFonts w:hint="eastAsia" w:asciiTheme="minorEastAsia" w:hAnsiTheme="minorEastAsia" w:eastAsiaTheme="minorEastAsia"/>
          <w:bCs/>
          <w:sz w:val="28"/>
          <w:szCs w:val="28"/>
        </w:rPr>
        <w:t>报价供应商</w:t>
      </w:r>
      <w:r>
        <w:rPr>
          <w:rFonts w:hint="eastAsia" w:ascii="宋体" w:hAnsi="宋体"/>
          <w:bCs/>
          <w:sz w:val="28"/>
          <w:szCs w:val="28"/>
          <w:lang w:val="zh-CN"/>
        </w:rPr>
        <w:t>须知前附表】</w:t>
      </w:r>
      <w:r>
        <w:rPr>
          <w:rFonts w:hint="eastAsia"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23.2</w:t>
      </w:r>
      <w:bookmarkStart w:id="199" w:name="_Hlk112422244"/>
      <w:r>
        <w:rPr>
          <w:rFonts w:hint="eastAsia" w:ascii="宋体" w:hAnsi="宋体"/>
          <w:bCs/>
          <w:sz w:val="28"/>
          <w:szCs w:val="28"/>
        </w:rPr>
        <w:t>符合性审查标准</w:t>
      </w:r>
      <w:bookmarkEnd w:id="199"/>
      <w:r>
        <w:rPr>
          <w:rFonts w:hint="eastAsia" w:ascii="宋体" w:hAnsi="宋体"/>
          <w:bCs/>
          <w:sz w:val="28"/>
          <w:szCs w:val="28"/>
        </w:rPr>
        <w:t>，见</w:t>
      </w:r>
      <w:r>
        <w:rPr>
          <w:rFonts w:hint="eastAsia" w:ascii="宋体" w:hAnsi="宋体"/>
          <w:bCs/>
          <w:sz w:val="28"/>
          <w:szCs w:val="28"/>
          <w:lang w:val="zh-CN"/>
        </w:rPr>
        <w:t>【</w:t>
      </w:r>
      <w:r>
        <w:rPr>
          <w:rFonts w:hint="eastAsia" w:asciiTheme="minorEastAsia" w:hAnsiTheme="minorEastAsia" w:eastAsiaTheme="minorEastAsia"/>
          <w:bCs/>
          <w:sz w:val="28"/>
          <w:szCs w:val="28"/>
        </w:rPr>
        <w:t>报价供应商</w:t>
      </w:r>
      <w:r>
        <w:rPr>
          <w:rFonts w:hint="eastAsia" w:ascii="宋体" w:hAnsi="宋体"/>
          <w:bCs/>
          <w:sz w:val="28"/>
          <w:szCs w:val="28"/>
          <w:lang w:val="zh-CN"/>
        </w:rPr>
        <w:t>须知前附表】</w:t>
      </w:r>
      <w:r>
        <w:rPr>
          <w:rFonts w:hint="eastAsia"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23.3</w:t>
      </w:r>
      <w:r>
        <w:rPr>
          <w:rFonts w:hint="eastAsia" w:ascii="宋体" w:hAnsi="宋体"/>
          <w:bCs/>
          <w:sz w:val="28"/>
          <w:szCs w:val="28"/>
        </w:rPr>
        <w:t>采用综合评分法评审：</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1）商务评审标准，见</w:t>
      </w:r>
      <w:r>
        <w:rPr>
          <w:rFonts w:hint="eastAsia" w:ascii="宋体" w:hAnsi="宋体"/>
          <w:bCs/>
          <w:sz w:val="28"/>
          <w:szCs w:val="28"/>
        </w:rPr>
        <w:t>【</w:t>
      </w:r>
      <w:r>
        <w:rPr>
          <w:rFonts w:hint="eastAsia" w:asciiTheme="minorEastAsia" w:hAnsiTheme="minorEastAsia" w:eastAsiaTheme="minorEastAsia"/>
          <w:bCs/>
          <w:sz w:val="28"/>
          <w:szCs w:val="28"/>
        </w:rPr>
        <w:t>报价供应商</w:t>
      </w:r>
      <w:r>
        <w:rPr>
          <w:rFonts w:hint="eastAsia" w:ascii="宋体" w:hAnsi="宋体"/>
          <w:bCs/>
          <w:sz w:val="28"/>
          <w:szCs w:val="28"/>
        </w:rPr>
        <w:t>须知前附表】。</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2）技术评审标准，见</w:t>
      </w:r>
      <w:r>
        <w:rPr>
          <w:rFonts w:hint="eastAsia" w:ascii="宋体" w:hAnsi="宋体"/>
          <w:bCs/>
          <w:sz w:val="28"/>
          <w:szCs w:val="28"/>
        </w:rPr>
        <w:t>【</w:t>
      </w:r>
      <w:r>
        <w:rPr>
          <w:rFonts w:hint="eastAsia" w:asciiTheme="minorEastAsia" w:hAnsiTheme="minorEastAsia" w:eastAsiaTheme="minorEastAsia"/>
          <w:bCs/>
          <w:sz w:val="28"/>
          <w:szCs w:val="28"/>
        </w:rPr>
        <w:t>报价供应商</w:t>
      </w:r>
      <w:r>
        <w:rPr>
          <w:rFonts w:hint="eastAsia" w:ascii="宋体" w:hAnsi="宋体"/>
          <w:bCs/>
          <w:sz w:val="28"/>
          <w:szCs w:val="28"/>
        </w:rPr>
        <w:t>须知前附表】。</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3）价格评审标准，见</w:t>
      </w:r>
      <w:r>
        <w:rPr>
          <w:rFonts w:hint="eastAsia" w:ascii="宋体" w:hAnsi="宋体"/>
          <w:bCs/>
          <w:sz w:val="28"/>
          <w:szCs w:val="28"/>
          <w:lang w:val="zh-CN"/>
        </w:rPr>
        <w:t>【</w:t>
      </w:r>
      <w:r>
        <w:rPr>
          <w:rFonts w:hint="eastAsia" w:asciiTheme="minorEastAsia" w:hAnsiTheme="minorEastAsia" w:eastAsiaTheme="minorEastAsia"/>
          <w:bCs/>
          <w:sz w:val="28"/>
          <w:szCs w:val="28"/>
        </w:rPr>
        <w:t>报价供应商</w:t>
      </w:r>
      <w:r>
        <w:rPr>
          <w:rFonts w:hint="eastAsia" w:ascii="宋体" w:hAnsi="宋体"/>
          <w:bCs/>
          <w:sz w:val="28"/>
          <w:szCs w:val="28"/>
          <w:lang w:val="zh-CN"/>
        </w:rPr>
        <w:t>须知前附表】</w:t>
      </w:r>
      <w:r>
        <w:rPr>
          <w:rFonts w:hint="eastAsia" w:ascii="宋体" w:hAnsi="宋体"/>
          <w:bCs/>
          <w:sz w:val="28"/>
          <w:szCs w:val="28"/>
        </w:rPr>
        <w:t>。</w:t>
      </w:r>
    </w:p>
    <w:p>
      <w:pPr>
        <w:pStyle w:val="6"/>
        <w:keepNext w:val="0"/>
        <w:keepLines w:val="0"/>
        <w:adjustRightInd w:val="0"/>
        <w:snapToGrid w:val="0"/>
        <w:spacing w:before="0" w:after="0" w:line="560" w:lineRule="exact"/>
        <w:ind w:firstLine="560" w:firstLineChars="200"/>
        <w:rPr>
          <w:rFonts w:ascii="黑体" w:hAnsi="黑体"/>
          <w:b w:val="0"/>
        </w:rPr>
      </w:pPr>
      <w:bookmarkStart w:id="200" w:name="_Toc17630"/>
      <w:bookmarkStart w:id="201" w:name="_Toc22128"/>
      <w:bookmarkStart w:id="202" w:name="_Toc1538"/>
      <w:bookmarkStart w:id="203" w:name="_Toc112768407"/>
      <w:bookmarkStart w:id="204" w:name="_Toc29467"/>
      <w:bookmarkStart w:id="205" w:name="_Toc29341"/>
      <w:r>
        <w:rPr>
          <w:rFonts w:ascii="黑体" w:hAnsi="黑体"/>
          <w:b w:val="0"/>
        </w:rPr>
        <w:t>24</w:t>
      </w:r>
      <w:r>
        <w:rPr>
          <w:rFonts w:hint="eastAsia" w:ascii="黑体" w:hAnsi="黑体"/>
          <w:b w:val="0"/>
        </w:rPr>
        <w:t>.谈判和评审程序</w:t>
      </w:r>
      <w:bookmarkEnd w:id="200"/>
      <w:bookmarkEnd w:id="201"/>
      <w:bookmarkEnd w:id="202"/>
      <w:bookmarkEnd w:id="203"/>
      <w:bookmarkEnd w:id="204"/>
      <w:bookmarkEnd w:id="205"/>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24.1</w:t>
      </w:r>
      <w:r>
        <w:rPr>
          <w:rFonts w:hint="eastAsia" w:ascii="宋体" w:hAnsi="宋体"/>
          <w:bCs/>
          <w:sz w:val="28"/>
          <w:szCs w:val="28"/>
        </w:rPr>
        <w:t>按照资格性审查、召开评审预备会、审阅</w:t>
      </w:r>
      <w:r>
        <w:rPr>
          <w:rFonts w:ascii="宋体" w:hAnsi="宋体"/>
          <w:bCs/>
          <w:sz w:val="28"/>
          <w:szCs w:val="28"/>
        </w:rPr>
        <w:t>谈判文件、</w:t>
      </w:r>
      <w:r>
        <w:rPr>
          <w:rFonts w:hint="eastAsia" w:ascii="宋体" w:hAnsi="宋体"/>
          <w:bCs/>
          <w:sz w:val="28"/>
          <w:szCs w:val="28"/>
        </w:rPr>
        <w:t>符合性审查、</w:t>
      </w:r>
      <w:r>
        <w:rPr>
          <w:rFonts w:ascii="宋体" w:hAnsi="宋体"/>
          <w:bCs/>
          <w:sz w:val="28"/>
          <w:szCs w:val="28"/>
        </w:rPr>
        <w:t>谈判</w:t>
      </w:r>
      <w:r>
        <w:rPr>
          <w:rFonts w:hint="eastAsia" w:ascii="宋体" w:hAnsi="宋体"/>
          <w:bCs/>
          <w:sz w:val="28"/>
          <w:szCs w:val="28"/>
        </w:rPr>
        <w:t>及报价、商务技术</w:t>
      </w:r>
      <w:r>
        <w:rPr>
          <w:rFonts w:ascii="宋体" w:hAnsi="宋体"/>
          <w:bCs/>
          <w:sz w:val="28"/>
          <w:szCs w:val="28"/>
        </w:rPr>
        <w:t>评审、</w:t>
      </w:r>
      <w:r>
        <w:rPr>
          <w:rFonts w:hint="eastAsia" w:ascii="宋体" w:hAnsi="宋体"/>
          <w:bCs/>
          <w:sz w:val="28"/>
          <w:szCs w:val="28"/>
        </w:rPr>
        <w:t>价格评审、复核评审结果、出具评审报告、宣布评审结果、公示评审结果的基本程序</w:t>
      </w:r>
      <w:r>
        <w:rPr>
          <w:rFonts w:asciiTheme="minorEastAsia" w:hAnsiTheme="minorEastAsia" w:eastAsiaTheme="minorEastAsia"/>
          <w:bCs/>
          <w:snapToGrid w:val="0"/>
          <w:sz w:val="28"/>
          <w:szCs w:val="28"/>
          <w:lang w:val="zh-CN"/>
        </w:rPr>
        <w:t>组织实施</w:t>
      </w:r>
      <w:r>
        <w:rPr>
          <w:rFonts w:hint="eastAsia"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24.</w:t>
      </w:r>
      <w:bookmarkStart w:id="206" w:name="_Toc18284"/>
      <w:bookmarkStart w:id="207" w:name="_Toc112768408"/>
      <w:bookmarkStart w:id="208" w:name="_Toc2376"/>
      <w:bookmarkStart w:id="209" w:name="_Toc11634"/>
      <w:bookmarkStart w:id="210" w:name="_Toc5447"/>
      <w:bookmarkStart w:id="211" w:name="_Toc3904"/>
      <w:r>
        <w:rPr>
          <w:rFonts w:ascii="宋体" w:hAnsi="宋体"/>
          <w:bCs/>
          <w:sz w:val="28"/>
          <w:szCs w:val="28"/>
        </w:rPr>
        <w:t>2谈判过程中</w:t>
      </w:r>
      <w:r>
        <w:rPr>
          <w:rFonts w:hint="eastAsia" w:ascii="宋体" w:hAnsi="宋体"/>
          <w:bCs/>
          <w:sz w:val="28"/>
          <w:szCs w:val="28"/>
        </w:rPr>
        <w:t>，</w:t>
      </w:r>
      <w:r>
        <w:rPr>
          <w:rFonts w:ascii="宋体" w:hAnsi="宋体"/>
          <w:bCs/>
          <w:sz w:val="28"/>
          <w:szCs w:val="28"/>
        </w:rPr>
        <w:t>谈判的任何一方不得向他人透露与谈判有关的技术</w:t>
      </w:r>
      <w:r>
        <w:rPr>
          <w:rFonts w:hint="eastAsia" w:ascii="宋体" w:hAnsi="宋体"/>
          <w:bCs/>
          <w:sz w:val="28"/>
          <w:szCs w:val="28"/>
        </w:rPr>
        <w:t>材料</w:t>
      </w:r>
      <w:r>
        <w:rPr>
          <w:rFonts w:ascii="宋体" w:hAnsi="宋体"/>
          <w:bCs/>
          <w:sz w:val="28"/>
          <w:szCs w:val="28"/>
        </w:rPr>
        <w:t>、价格或其他信息。</w:t>
      </w:r>
    </w:p>
    <w:p>
      <w:pPr>
        <w:pStyle w:val="6"/>
        <w:keepNext w:val="0"/>
        <w:keepLines w:val="0"/>
        <w:adjustRightInd w:val="0"/>
        <w:snapToGrid w:val="0"/>
        <w:spacing w:before="0" w:after="0" w:line="560" w:lineRule="exact"/>
        <w:ind w:firstLine="560" w:firstLineChars="200"/>
        <w:rPr>
          <w:rFonts w:ascii="黑体" w:hAnsi="黑体"/>
          <w:b w:val="0"/>
        </w:rPr>
      </w:pPr>
      <w:r>
        <w:rPr>
          <w:rFonts w:ascii="黑体" w:hAnsi="黑体"/>
          <w:b w:val="0"/>
        </w:rPr>
        <w:t>25.</w:t>
      </w:r>
      <w:r>
        <w:rPr>
          <w:rFonts w:hint="eastAsia" w:ascii="黑体" w:hAnsi="黑体"/>
          <w:b w:val="0"/>
        </w:rPr>
        <w:t>资格性审查</w:t>
      </w:r>
      <w:bookmarkEnd w:id="206"/>
      <w:bookmarkEnd w:id="207"/>
      <w:bookmarkEnd w:id="208"/>
      <w:bookmarkEnd w:id="209"/>
      <w:bookmarkEnd w:id="210"/>
      <w:bookmarkEnd w:id="211"/>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25.1</w:t>
      </w:r>
      <w:r>
        <w:rPr>
          <w:rFonts w:hint="eastAsia" w:ascii="宋体" w:hAnsi="宋体"/>
          <w:bCs/>
          <w:sz w:val="28"/>
          <w:szCs w:val="28"/>
        </w:rPr>
        <w:t>采购机构</w:t>
      </w:r>
      <w:r>
        <w:rPr>
          <w:rFonts w:ascii="宋体" w:hAnsi="宋体"/>
          <w:bCs/>
          <w:sz w:val="28"/>
          <w:szCs w:val="28"/>
        </w:rPr>
        <w:t>依据谈判文件规定</w:t>
      </w:r>
      <w:r>
        <w:rPr>
          <w:rFonts w:hint="eastAsia" w:ascii="宋体" w:hAnsi="宋体"/>
          <w:bCs/>
          <w:sz w:val="28"/>
          <w:szCs w:val="28"/>
        </w:rPr>
        <w:t>的资格性审查标准</w:t>
      </w:r>
      <w:r>
        <w:rPr>
          <w:rFonts w:ascii="宋体" w:hAnsi="宋体"/>
          <w:bCs/>
          <w:sz w:val="28"/>
          <w:szCs w:val="28"/>
        </w:rPr>
        <w:t>，</w:t>
      </w:r>
      <w:r>
        <w:rPr>
          <w:rFonts w:hint="eastAsia" w:ascii="宋体" w:hAnsi="宋体"/>
          <w:bCs/>
          <w:sz w:val="28"/>
          <w:szCs w:val="28"/>
        </w:rPr>
        <w:t>对报价供应商的资格进行审查。</w:t>
      </w:r>
    </w:p>
    <w:p>
      <w:pPr>
        <w:adjustRightInd w:val="0"/>
        <w:snapToGrid w:val="0"/>
        <w:spacing w:line="560" w:lineRule="exact"/>
        <w:ind w:firstLine="560" w:firstLineChars="200"/>
        <w:rPr>
          <w:rFonts w:ascii="宋体" w:hAnsi="宋体"/>
          <w:bCs/>
          <w:sz w:val="28"/>
          <w:szCs w:val="36"/>
        </w:rPr>
      </w:pPr>
      <w:r>
        <w:rPr>
          <w:rFonts w:hint="eastAsia" w:ascii="宋体" w:hAnsi="宋体"/>
          <w:bCs/>
          <w:sz w:val="28"/>
          <w:szCs w:val="36"/>
        </w:rPr>
        <w:t>（</w:t>
      </w:r>
      <w:r>
        <w:rPr>
          <w:rFonts w:ascii="宋体" w:hAnsi="宋体"/>
          <w:bCs/>
          <w:sz w:val="28"/>
          <w:szCs w:val="36"/>
        </w:rPr>
        <w:t>1）通过</w:t>
      </w:r>
      <w:r>
        <w:rPr>
          <w:rFonts w:hint="eastAsia" w:ascii="宋体" w:hAnsi="宋体"/>
          <w:bCs/>
          <w:sz w:val="28"/>
          <w:szCs w:val="36"/>
        </w:rPr>
        <w:t>资格性审查</w:t>
      </w:r>
      <w:r>
        <w:rPr>
          <w:rFonts w:ascii="宋体" w:hAnsi="宋体"/>
          <w:bCs/>
          <w:sz w:val="28"/>
          <w:szCs w:val="36"/>
        </w:rPr>
        <w:t>的</w:t>
      </w:r>
      <w:r>
        <w:rPr>
          <w:rFonts w:hint="eastAsia" w:ascii="宋体" w:hAnsi="宋体"/>
          <w:bCs/>
          <w:sz w:val="28"/>
          <w:szCs w:val="36"/>
        </w:rPr>
        <w:t>报价</w:t>
      </w:r>
      <w:r>
        <w:rPr>
          <w:rFonts w:hint="eastAsia" w:ascii="宋体" w:hAnsi="宋体"/>
          <w:bCs/>
          <w:sz w:val="28"/>
          <w:szCs w:val="28"/>
        </w:rPr>
        <w:t>供应商</w:t>
      </w:r>
      <w:r>
        <w:rPr>
          <w:rFonts w:hint="eastAsia" w:ascii="宋体" w:hAnsi="宋体"/>
          <w:bCs/>
          <w:sz w:val="28"/>
          <w:szCs w:val="36"/>
        </w:rPr>
        <w:t>进入后续评审；未通过资格性审查的报价</w:t>
      </w:r>
      <w:r>
        <w:rPr>
          <w:rFonts w:hint="eastAsia" w:ascii="宋体" w:hAnsi="宋体"/>
          <w:bCs/>
          <w:sz w:val="28"/>
          <w:szCs w:val="28"/>
        </w:rPr>
        <w:t>供应商不得</w:t>
      </w:r>
      <w:r>
        <w:rPr>
          <w:rFonts w:hint="eastAsia" w:ascii="宋体" w:hAnsi="宋体"/>
          <w:bCs/>
          <w:sz w:val="28"/>
          <w:szCs w:val="36"/>
        </w:rPr>
        <w:t>进入后续评审。</w:t>
      </w:r>
    </w:p>
    <w:p>
      <w:pPr>
        <w:adjustRightInd w:val="0"/>
        <w:snapToGrid w:val="0"/>
        <w:spacing w:line="560" w:lineRule="exact"/>
        <w:ind w:firstLine="560" w:firstLineChars="200"/>
        <w:rPr>
          <w:rFonts w:ascii="宋体" w:hAnsi="宋体"/>
          <w:bCs/>
          <w:sz w:val="28"/>
          <w:szCs w:val="36"/>
        </w:rPr>
      </w:pPr>
      <w:r>
        <w:rPr>
          <w:rFonts w:hint="eastAsia" w:ascii="宋体" w:hAnsi="宋体"/>
          <w:bCs/>
          <w:sz w:val="28"/>
          <w:szCs w:val="36"/>
        </w:rPr>
        <w:t>（</w:t>
      </w:r>
      <w:r>
        <w:rPr>
          <w:rFonts w:ascii="宋体" w:hAnsi="宋体"/>
          <w:bCs/>
          <w:sz w:val="28"/>
          <w:szCs w:val="36"/>
        </w:rPr>
        <w:t>2）审查人员应当对</w:t>
      </w:r>
      <w:r>
        <w:rPr>
          <w:rFonts w:hint="eastAsia" w:ascii="宋体" w:hAnsi="宋体"/>
          <w:bCs/>
          <w:sz w:val="28"/>
          <w:szCs w:val="36"/>
        </w:rPr>
        <w:t>资格性审查</w:t>
      </w:r>
      <w:r>
        <w:rPr>
          <w:rFonts w:ascii="宋体" w:hAnsi="宋体"/>
          <w:bCs/>
          <w:sz w:val="28"/>
          <w:szCs w:val="36"/>
        </w:rPr>
        <w:t>结果签字确认，并提交评审委员会。</w:t>
      </w:r>
    </w:p>
    <w:p>
      <w:pPr>
        <w:adjustRightInd w:val="0"/>
        <w:snapToGrid w:val="0"/>
        <w:spacing w:line="560" w:lineRule="exact"/>
        <w:ind w:firstLine="560" w:firstLineChars="200"/>
        <w:rPr>
          <w:rFonts w:ascii="仿宋_GB2312" w:hAnsi="仿宋"/>
          <w:bCs/>
          <w:sz w:val="28"/>
          <w:szCs w:val="36"/>
        </w:rPr>
      </w:pPr>
      <w:r>
        <w:rPr>
          <w:rFonts w:hint="eastAsia" w:ascii="宋体" w:hAnsi="宋体"/>
          <w:bCs/>
          <w:sz w:val="28"/>
          <w:szCs w:val="36"/>
        </w:rPr>
        <w:t>（</w:t>
      </w:r>
      <w:r>
        <w:rPr>
          <w:rFonts w:ascii="宋体" w:hAnsi="宋体"/>
          <w:bCs/>
          <w:sz w:val="28"/>
          <w:szCs w:val="36"/>
        </w:rPr>
        <w:t>3</w:t>
      </w:r>
      <w:r>
        <w:rPr>
          <w:rFonts w:hint="eastAsia" w:ascii="宋体" w:hAnsi="宋体"/>
          <w:bCs/>
          <w:sz w:val="28"/>
          <w:szCs w:val="36"/>
        </w:rPr>
        <w:t>）</w:t>
      </w:r>
      <w:r>
        <w:rPr>
          <w:rFonts w:hint="eastAsia" w:ascii="仿宋_GB2312" w:hAnsi="仿宋"/>
          <w:bCs/>
          <w:sz w:val="28"/>
          <w:szCs w:val="36"/>
        </w:rPr>
        <w:t>审查人员应当当场向未通过资格性审查的报价</w:t>
      </w:r>
      <w:r>
        <w:rPr>
          <w:rFonts w:hint="eastAsia" w:ascii="宋体" w:hAnsi="宋体"/>
          <w:bCs/>
          <w:sz w:val="28"/>
          <w:szCs w:val="28"/>
        </w:rPr>
        <w:t>供应商</w:t>
      </w:r>
      <w:r>
        <w:rPr>
          <w:rFonts w:hint="eastAsia" w:ascii="仿宋_GB2312" w:hAnsi="仿宋"/>
          <w:bCs/>
          <w:sz w:val="28"/>
          <w:szCs w:val="36"/>
        </w:rPr>
        <w:t>告知审查结果和未通过原因，报价</w:t>
      </w:r>
      <w:r>
        <w:rPr>
          <w:rFonts w:hint="eastAsia" w:ascii="宋体" w:hAnsi="宋体"/>
          <w:bCs/>
          <w:sz w:val="28"/>
          <w:szCs w:val="28"/>
        </w:rPr>
        <w:t>供应商</w:t>
      </w:r>
      <w:r>
        <w:rPr>
          <w:rFonts w:hint="eastAsia" w:ascii="仿宋_GB2312" w:hAnsi="仿宋"/>
          <w:bCs/>
          <w:sz w:val="28"/>
          <w:szCs w:val="36"/>
        </w:rPr>
        <w:t>签字确认；拒绝签字确认的，不影响资格性审查结果，审查人员如实记录并存入采购档案。报价</w:t>
      </w:r>
      <w:r>
        <w:rPr>
          <w:rFonts w:hint="eastAsia" w:ascii="宋体" w:hAnsi="宋体"/>
          <w:bCs/>
          <w:sz w:val="28"/>
          <w:szCs w:val="28"/>
        </w:rPr>
        <w:t>供应商</w:t>
      </w:r>
      <w:r>
        <w:rPr>
          <w:rFonts w:hint="eastAsia" w:ascii="仿宋_GB2312" w:hAnsi="仿宋"/>
          <w:bCs/>
          <w:sz w:val="28"/>
          <w:szCs w:val="36"/>
        </w:rPr>
        <w:t>有疑义的，审查人员应当当场解答。</w:t>
      </w:r>
    </w:p>
    <w:p>
      <w:pPr>
        <w:adjustRightInd w:val="0"/>
        <w:snapToGrid w:val="0"/>
        <w:spacing w:line="560" w:lineRule="exact"/>
        <w:ind w:firstLine="560" w:firstLineChars="200"/>
        <w:rPr>
          <w:rFonts w:ascii="宋体" w:hAnsi="宋体"/>
          <w:bCs/>
          <w:sz w:val="28"/>
          <w:szCs w:val="28"/>
        </w:rPr>
      </w:pPr>
      <w:r>
        <w:rPr>
          <w:rFonts w:ascii="宋体" w:hAnsi="宋体"/>
          <w:bCs/>
          <w:snapToGrid w:val="0"/>
          <w:sz w:val="28"/>
          <w:szCs w:val="28"/>
        </w:rPr>
        <w:t>25.2</w:t>
      </w:r>
      <w:r>
        <w:rPr>
          <w:rFonts w:hint="eastAsia" w:ascii="宋体" w:hAnsi="宋体"/>
          <w:bCs/>
          <w:sz w:val="28"/>
          <w:szCs w:val="28"/>
        </w:rPr>
        <w:t>竞争性谈判采购过程中，供应商发生合并、分立或破产等重大变化时，应当及时书面告知采购机构。</w:t>
      </w:r>
    </w:p>
    <w:p>
      <w:pPr>
        <w:pStyle w:val="6"/>
        <w:keepNext w:val="0"/>
        <w:keepLines w:val="0"/>
        <w:adjustRightInd w:val="0"/>
        <w:snapToGrid w:val="0"/>
        <w:spacing w:before="0" w:after="0" w:line="560" w:lineRule="exact"/>
        <w:ind w:firstLine="560" w:firstLineChars="200"/>
        <w:rPr>
          <w:rFonts w:ascii="黑体" w:hAnsi="黑体"/>
          <w:b w:val="0"/>
        </w:rPr>
      </w:pPr>
      <w:bookmarkStart w:id="212" w:name="_Toc112768409"/>
      <w:bookmarkStart w:id="213" w:name="_Toc29816"/>
      <w:bookmarkStart w:id="214" w:name="_Toc3776"/>
      <w:bookmarkStart w:id="215" w:name="_Toc31607"/>
      <w:bookmarkStart w:id="216" w:name="_Toc9112"/>
      <w:bookmarkStart w:id="217" w:name="_Toc616"/>
      <w:r>
        <w:rPr>
          <w:rFonts w:ascii="黑体" w:hAnsi="黑体"/>
          <w:b w:val="0"/>
        </w:rPr>
        <w:t>26.</w:t>
      </w:r>
      <w:r>
        <w:rPr>
          <w:rFonts w:hint="eastAsia" w:ascii="黑体" w:hAnsi="黑体"/>
          <w:b w:val="0"/>
        </w:rPr>
        <w:t>召开评审预备会</w:t>
      </w:r>
    </w:p>
    <w:p>
      <w:pPr>
        <w:adjustRightInd w:val="0"/>
        <w:snapToGrid w:val="0"/>
        <w:spacing w:line="560" w:lineRule="exact"/>
        <w:ind w:firstLine="560" w:firstLineChars="200"/>
        <w:rPr>
          <w:rFonts w:ascii="仿宋_GB2312" w:hAnsi="仿宋"/>
          <w:bCs/>
          <w:sz w:val="28"/>
          <w:szCs w:val="36"/>
        </w:rPr>
      </w:pPr>
      <w:r>
        <w:rPr>
          <w:rFonts w:asciiTheme="minorEastAsia" w:hAnsiTheme="minorEastAsia" w:eastAsiaTheme="minorEastAsia"/>
          <w:bCs/>
          <w:sz w:val="28"/>
          <w:szCs w:val="36"/>
        </w:rPr>
        <w:t>26.1</w:t>
      </w:r>
      <w:r>
        <w:rPr>
          <w:rFonts w:hint="eastAsia" w:asciiTheme="minorEastAsia" w:hAnsiTheme="minorEastAsia" w:eastAsiaTheme="minorEastAsia"/>
          <w:bCs/>
          <w:sz w:val="28"/>
          <w:szCs w:val="36"/>
        </w:rPr>
        <w:t>采购机构组织评审委员会召开评审预备会。采购单位或采购机构介绍采购</w:t>
      </w:r>
      <w:r>
        <w:rPr>
          <w:rFonts w:hint="eastAsia" w:ascii="仿宋_GB2312" w:hAnsi="仿宋"/>
          <w:bCs/>
          <w:sz w:val="28"/>
          <w:szCs w:val="36"/>
        </w:rPr>
        <w:t>项目情况，采购机构重点说明评审标准和评审程序，并介绍谈判文件主要内容和质疑答复情况。评审委员会全体成员按照少数服从多数的原则，实名投票推选评审委员会组长。</w:t>
      </w:r>
    </w:p>
    <w:p>
      <w:pPr>
        <w:pStyle w:val="6"/>
        <w:keepNext w:val="0"/>
        <w:keepLines w:val="0"/>
        <w:adjustRightInd w:val="0"/>
        <w:snapToGrid w:val="0"/>
        <w:spacing w:before="0" w:after="0" w:line="560" w:lineRule="exact"/>
        <w:ind w:firstLine="560" w:firstLineChars="200"/>
        <w:rPr>
          <w:rFonts w:ascii="黑体" w:hAnsi="黑体"/>
          <w:b w:val="0"/>
        </w:rPr>
      </w:pPr>
      <w:bookmarkStart w:id="218" w:name="_Hlk127018299"/>
      <w:r>
        <w:rPr>
          <w:rFonts w:ascii="黑体" w:hAnsi="黑体"/>
          <w:b w:val="0"/>
        </w:rPr>
        <w:t>27.</w:t>
      </w:r>
      <w:r>
        <w:rPr>
          <w:rFonts w:hint="eastAsia" w:ascii="黑体" w:hAnsi="黑体"/>
          <w:b w:val="0"/>
        </w:rPr>
        <w:t>审阅谈判文件</w:t>
      </w:r>
    </w:p>
    <w:p>
      <w:pPr>
        <w:spacing w:line="560" w:lineRule="exact"/>
        <w:ind w:firstLine="560" w:firstLineChars="200"/>
        <w:rPr>
          <w:rFonts w:asciiTheme="minorEastAsia" w:hAnsiTheme="minorEastAsia" w:eastAsiaTheme="minorEastAsia"/>
          <w:bCs/>
          <w:sz w:val="28"/>
          <w:szCs w:val="36"/>
        </w:rPr>
      </w:pPr>
      <w:r>
        <w:rPr>
          <w:rFonts w:hint="eastAsia" w:asciiTheme="minorEastAsia" w:hAnsiTheme="minorEastAsia" w:eastAsiaTheme="minorEastAsia"/>
          <w:bCs/>
          <w:sz w:val="28"/>
          <w:szCs w:val="36"/>
        </w:rPr>
        <w:t>2</w:t>
      </w:r>
      <w:r>
        <w:rPr>
          <w:rFonts w:asciiTheme="minorEastAsia" w:hAnsiTheme="minorEastAsia" w:eastAsiaTheme="minorEastAsia"/>
          <w:bCs/>
          <w:sz w:val="28"/>
          <w:szCs w:val="36"/>
        </w:rPr>
        <w:t>7.1</w:t>
      </w:r>
      <w:r>
        <w:rPr>
          <w:rFonts w:hint="eastAsia" w:asciiTheme="minorEastAsia" w:hAnsiTheme="minorEastAsia" w:eastAsiaTheme="minorEastAsia"/>
          <w:bCs/>
          <w:sz w:val="28"/>
          <w:szCs w:val="36"/>
        </w:rPr>
        <w:t>评审委员会在评审开始前审阅谈判文件，重点熟悉理解谈判文件符合性审查要求、无效报价条款和评审标准等内容。</w:t>
      </w:r>
    </w:p>
    <w:p>
      <w:pPr>
        <w:adjustRightInd w:val="0"/>
        <w:snapToGrid w:val="0"/>
        <w:spacing w:line="560" w:lineRule="exact"/>
        <w:ind w:firstLine="560" w:firstLineChars="200"/>
        <w:rPr>
          <w:rFonts w:ascii="仿宋_GB2312" w:hAnsi="仿宋"/>
          <w:bCs/>
          <w:szCs w:val="36"/>
        </w:rPr>
      </w:pPr>
      <w:r>
        <w:rPr>
          <w:rFonts w:hint="eastAsia" w:ascii="宋体" w:hAnsi="宋体"/>
          <w:bCs/>
          <w:sz w:val="28"/>
          <w:szCs w:val="28"/>
        </w:rPr>
        <w:t>2</w:t>
      </w:r>
      <w:r>
        <w:rPr>
          <w:rFonts w:ascii="宋体" w:hAnsi="宋体"/>
          <w:bCs/>
          <w:sz w:val="28"/>
          <w:szCs w:val="28"/>
        </w:rPr>
        <w:t>7.2评审委员会成员对</w:t>
      </w:r>
      <w:r>
        <w:rPr>
          <w:rFonts w:hint="eastAsia" w:ascii="宋体" w:hAnsi="宋体"/>
          <w:bCs/>
          <w:sz w:val="28"/>
          <w:szCs w:val="28"/>
        </w:rPr>
        <w:t>谈判文件</w:t>
      </w:r>
      <w:r>
        <w:rPr>
          <w:rFonts w:ascii="宋体" w:hAnsi="宋体"/>
          <w:bCs/>
          <w:sz w:val="28"/>
          <w:szCs w:val="28"/>
        </w:rPr>
        <w:t>相关</w:t>
      </w:r>
      <w:r>
        <w:rPr>
          <w:rFonts w:hint="eastAsia" w:ascii="宋体" w:hAnsi="宋体"/>
          <w:bCs/>
          <w:sz w:val="28"/>
          <w:szCs w:val="28"/>
        </w:rPr>
        <w:t>事项表述不明确或需要说明的，可以要求采购机构或采购单位书面解释；对谈判文件中涉及技术参数、技术方案等问题的，应当提请采购单位书面澄清。书面解释或澄清不得改变谈判文件原义或影响客观公正评审。书面解释或澄清仍不能解决谈判文件存在的歧义或重大缺陷，导致评审工作无法进行的，应当终止评审工作，在评审报告中书面说明情况，并提出谈判文件修改意见。采购机构应当予以记录。</w:t>
      </w:r>
      <w:bookmarkEnd w:id="218"/>
    </w:p>
    <w:p>
      <w:pPr>
        <w:pStyle w:val="6"/>
        <w:keepNext w:val="0"/>
        <w:keepLines w:val="0"/>
        <w:adjustRightInd w:val="0"/>
        <w:snapToGrid w:val="0"/>
        <w:spacing w:before="0" w:after="0" w:line="560" w:lineRule="exact"/>
        <w:ind w:firstLine="560" w:firstLineChars="200"/>
        <w:rPr>
          <w:rFonts w:ascii="黑体" w:hAnsi="黑体"/>
          <w:b w:val="0"/>
        </w:rPr>
      </w:pPr>
      <w:r>
        <w:rPr>
          <w:rFonts w:ascii="黑体" w:hAnsi="黑体"/>
          <w:b w:val="0"/>
        </w:rPr>
        <w:t>28</w:t>
      </w:r>
      <w:r>
        <w:rPr>
          <w:rFonts w:hint="eastAsia" w:ascii="黑体" w:hAnsi="黑体"/>
          <w:b w:val="0"/>
        </w:rPr>
        <w:t>.</w:t>
      </w:r>
      <w:bookmarkStart w:id="219" w:name="_Hlk112682054"/>
      <w:r>
        <w:rPr>
          <w:rFonts w:hint="eastAsia" w:ascii="黑体" w:hAnsi="黑体"/>
          <w:b w:val="0"/>
        </w:rPr>
        <w:t>符合性</w:t>
      </w:r>
      <w:bookmarkEnd w:id="219"/>
      <w:r>
        <w:rPr>
          <w:rFonts w:hint="eastAsia" w:ascii="黑体" w:hAnsi="黑体"/>
          <w:b w:val="0"/>
        </w:rPr>
        <w:t>审查</w:t>
      </w:r>
      <w:bookmarkEnd w:id="212"/>
      <w:bookmarkEnd w:id="213"/>
      <w:bookmarkEnd w:id="214"/>
      <w:bookmarkEnd w:id="215"/>
      <w:bookmarkEnd w:id="216"/>
      <w:bookmarkEnd w:id="217"/>
    </w:p>
    <w:p>
      <w:pPr>
        <w:adjustRightInd w:val="0"/>
        <w:snapToGrid w:val="0"/>
        <w:spacing w:line="560" w:lineRule="exact"/>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28.1</w:t>
      </w:r>
      <w:r>
        <w:rPr>
          <w:rFonts w:hint="eastAsia" w:asciiTheme="minorEastAsia" w:hAnsiTheme="minorEastAsia" w:eastAsiaTheme="minorEastAsia"/>
          <w:bCs/>
          <w:sz w:val="28"/>
          <w:szCs w:val="28"/>
        </w:rPr>
        <w:t>报价文件的偏离与实质性响应：</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1）谈判文件中用“★”号标明的条款</w:t>
      </w:r>
      <w:r>
        <w:rPr>
          <w:rFonts w:hint="eastAsia" w:asciiTheme="minorEastAsia" w:hAnsiTheme="minorEastAsia" w:eastAsiaTheme="minorEastAsia"/>
          <w:bCs/>
          <w:sz w:val="28"/>
          <w:szCs w:val="28"/>
        </w:rPr>
        <w:t>不允许负偏离，报价供应商应当作出实质性响应，未作实质性响应的视为无效报价。</w:t>
      </w:r>
    </w:p>
    <w:p>
      <w:pPr>
        <w:adjustRightInd w:val="0"/>
        <w:snapToGrid w:val="0"/>
        <w:spacing w:line="560" w:lineRule="exact"/>
        <w:ind w:firstLine="560" w:firstLineChars="200"/>
        <w:jc w:val="left"/>
        <w:rPr>
          <w:rFonts w:ascii="仿宋_GB2312" w:hAnsi="仿宋"/>
          <w:bCs/>
          <w:sz w:val="28"/>
          <w:szCs w:val="36"/>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2）</w:t>
      </w:r>
      <w:r>
        <w:rPr>
          <w:rFonts w:hint="eastAsia" w:asciiTheme="minorEastAsia" w:hAnsiTheme="minorEastAsia" w:eastAsiaTheme="minorEastAsia"/>
          <w:bCs/>
          <w:sz w:val="28"/>
          <w:szCs w:val="28"/>
        </w:rPr>
        <w:t>报价文件中非</w:t>
      </w:r>
      <w:r>
        <w:rPr>
          <w:rFonts w:asciiTheme="minorEastAsia" w:hAnsiTheme="minorEastAsia" w:eastAsiaTheme="minorEastAsia"/>
          <w:bCs/>
          <w:sz w:val="28"/>
          <w:szCs w:val="28"/>
        </w:rPr>
        <w:t>“★”号标明的条款</w:t>
      </w:r>
      <w:r>
        <w:rPr>
          <w:rFonts w:hint="eastAsia" w:asciiTheme="minorEastAsia" w:hAnsiTheme="minorEastAsia" w:eastAsiaTheme="minorEastAsia"/>
          <w:bCs/>
          <w:sz w:val="28"/>
          <w:szCs w:val="28"/>
        </w:rPr>
        <w:t>负</w:t>
      </w:r>
      <w:r>
        <w:rPr>
          <w:rFonts w:asciiTheme="minorEastAsia" w:hAnsiTheme="minorEastAsia" w:eastAsiaTheme="minorEastAsia"/>
          <w:bCs/>
          <w:sz w:val="28"/>
          <w:szCs w:val="28"/>
        </w:rPr>
        <w:t>偏离的</w:t>
      </w:r>
      <w:r>
        <w:rPr>
          <w:rFonts w:hint="eastAsia" w:asciiTheme="minorEastAsia" w:hAnsiTheme="minorEastAsia" w:eastAsiaTheme="minorEastAsia"/>
          <w:bCs/>
          <w:sz w:val="28"/>
          <w:szCs w:val="28"/>
        </w:rPr>
        <w:t>项数</w:t>
      </w:r>
      <w:r>
        <w:rPr>
          <w:rFonts w:asciiTheme="minorEastAsia" w:hAnsiTheme="minorEastAsia" w:eastAsiaTheme="minorEastAsia"/>
          <w:bCs/>
          <w:sz w:val="28"/>
          <w:szCs w:val="28"/>
        </w:rPr>
        <w:t>应当符合</w:t>
      </w:r>
      <w:r>
        <w:rPr>
          <w:rFonts w:hint="eastAsia" w:asciiTheme="minorEastAsia" w:hAnsiTheme="minorEastAsia" w:eastAsiaTheme="minorEastAsia"/>
          <w:bCs/>
          <w:sz w:val="28"/>
          <w:szCs w:val="28"/>
        </w:rPr>
        <w:t>【报价供应商须知前附表】明确的要求，否则视为无效报价。</w:t>
      </w:r>
    </w:p>
    <w:p>
      <w:pPr>
        <w:adjustRightInd w:val="0"/>
        <w:snapToGrid w:val="0"/>
        <w:spacing w:line="560" w:lineRule="exact"/>
        <w:ind w:firstLine="560" w:firstLineChars="200"/>
        <w:rPr>
          <w:rFonts w:ascii="宋体" w:hAnsi="宋体"/>
          <w:bCs/>
          <w:sz w:val="28"/>
          <w:szCs w:val="28"/>
        </w:rPr>
      </w:pPr>
      <w:r>
        <w:rPr>
          <w:rFonts w:ascii="宋体" w:hAnsi="宋体"/>
          <w:bCs/>
          <w:snapToGrid w:val="0"/>
          <w:sz w:val="28"/>
          <w:szCs w:val="28"/>
        </w:rPr>
        <w:t>28.2</w:t>
      </w:r>
      <w:r>
        <w:rPr>
          <w:rFonts w:hint="eastAsia" w:ascii="宋体" w:hAnsi="宋体"/>
          <w:bCs/>
          <w:sz w:val="28"/>
          <w:szCs w:val="28"/>
        </w:rPr>
        <w:t>采购机构资格性审查结束后，评审委员会应当依据谈判文件规定的符合性审查标准，对资格性审查合格的报价供应商的报价文件进行符合性审查，确定其是否满足谈判文件的实质性要求。</w:t>
      </w:r>
    </w:p>
    <w:p>
      <w:pPr>
        <w:adjustRightInd w:val="0"/>
        <w:snapToGrid w:val="0"/>
        <w:spacing w:line="560" w:lineRule="exact"/>
        <w:ind w:firstLine="560" w:firstLineChars="200"/>
        <w:rPr>
          <w:rFonts w:ascii="宋体" w:hAnsi="宋体"/>
          <w:bCs/>
          <w:sz w:val="28"/>
          <w:szCs w:val="28"/>
          <w:lang w:val="zh-CN"/>
        </w:rPr>
      </w:pPr>
      <w:r>
        <w:rPr>
          <w:rFonts w:hint="eastAsia" w:ascii="宋体" w:hAnsi="宋体"/>
          <w:bCs/>
          <w:sz w:val="28"/>
          <w:szCs w:val="28"/>
          <w:lang w:val="zh-CN"/>
        </w:rPr>
        <w:t>（</w:t>
      </w:r>
      <w:r>
        <w:rPr>
          <w:rFonts w:ascii="宋体" w:hAnsi="宋体"/>
          <w:bCs/>
          <w:sz w:val="28"/>
          <w:szCs w:val="28"/>
          <w:lang w:val="zh-CN"/>
        </w:rPr>
        <w:t>1）不得以谈判文件未明确的内容</w:t>
      </w:r>
      <w:r>
        <w:rPr>
          <w:rFonts w:hint="eastAsia" w:ascii="宋体" w:hAnsi="宋体"/>
          <w:bCs/>
          <w:sz w:val="28"/>
          <w:szCs w:val="28"/>
          <w:lang w:val="zh-CN"/>
        </w:rPr>
        <w:t>和</w:t>
      </w:r>
      <w:r>
        <w:rPr>
          <w:rFonts w:ascii="宋体" w:hAnsi="宋体"/>
          <w:bCs/>
          <w:sz w:val="28"/>
          <w:szCs w:val="28"/>
          <w:lang w:val="zh-CN"/>
        </w:rPr>
        <w:t>非实质性条款判定</w:t>
      </w:r>
      <w:r>
        <w:rPr>
          <w:rFonts w:hint="eastAsia" w:ascii="宋体" w:hAnsi="宋体"/>
          <w:bCs/>
          <w:sz w:val="28"/>
          <w:szCs w:val="28"/>
          <w:lang w:val="zh-CN"/>
        </w:rPr>
        <w:t>报价供应商</w:t>
      </w:r>
      <w:r>
        <w:rPr>
          <w:rFonts w:ascii="宋体" w:hAnsi="宋体"/>
          <w:bCs/>
          <w:sz w:val="28"/>
          <w:szCs w:val="28"/>
          <w:lang w:val="zh-CN"/>
        </w:rPr>
        <w:t>无效报价</w:t>
      </w:r>
      <w:r>
        <w:rPr>
          <w:rFonts w:hint="eastAsia" w:ascii="宋体" w:hAnsi="宋体"/>
          <w:bCs/>
          <w:sz w:val="28"/>
          <w:szCs w:val="28"/>
          <w:lang w:val="zh-CN"/>
        </w:rPr>
        <w:t>。</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lang w:val="zh-CN"/>
        </w:rPr>
        <w:t>（</w:t>
      </w:r>
      <w:r>
        <w:rPr>
          <w:rFonts w:ascii="宋体" w:hAnsi="宋体"/>
          <w:bCs/>
          <w:sz w:val="28"/>
          <w:szCs w:val="28"/>
          <w:lang w:val="zh-CN"/>
        </w:rPr>
        <w:t>2）</w:t>
      </w:r>
      <w:r>
        <w:rPr>
          <w:rFonts w:hint="eastAsia" w:ascii="宋体" w:hAnsi="宋体"/>
          <w:bCs/>
          <w:sz w:val="28"/>
          <w:szCs w:val="28"/>
        </w:rPr>
        <w:t>报价文件按无效报价处理的，评审委员会应当拒绝其参与后续谈判、评审。评审委员会组长当场向未通过符合性审查的报价供应商告知审查结果和未通过原因，报价供应商签字确认。报价供应商有疑义的，评审委员会应当当场解答。报价供应商拒绝签字确认的，</w:t>
      </w:r>
      <w:r>
        <w:rPr>
          <w:rFonts w:hint="eastAsia" w:ascii="仿宋_GB2312" w:hAnsi="仿宋"/>
          <w:bCs/>
          <w:sz w:val="28"/>
          <w:szCs w:val="36"/>
        </w:rPr>
        <w:t>不影响符合性审查结果，评审委员会</w:t>
      </w:r>
      <w:r>
        <w:rPr>
          <w:rFonts w:hint="eastAsia" w:ascii="宋体" w:hAnsi="宋体"/>
          <w:bCs/>
          <w:sz w:val="28"/>
          <w:szCs w:val="28"/>
        </w:rPr>
        <w:t>如实在评审报告中记录。</w:t>
      </w:r>
      <w:bookmarkStart w:id="220" w:name="_Toc16901"/>
      <w:bookmarkStart w:id="221" w:name="_Toc5778"/>
      <w:bookmarkStart w:id="222" w:name="_Toc112768411"/>
      <w:bookmarkStart w:id="223" w:name="_Toc29848"/>
      <w:bookmarkStart w:id="224" w:name="_Toc21936"/>
      <w:bookmarkStart w:id="225" w:name="_Toc20102"/>
    </w:p>
    <w:bookmarkEnd w:id="220"/>
    <w:bookmarkEnd w:id="221"/>
    <w:bookmarkEnd w:id="222"/>
    <w:bookmarkEnd w:id="223"/>
    <w:bookmarkEnd w:id="224"/>
    <w:bookmarkEnd w:id="225"/>
    <w:p>
      <w:pPr>
        <w:pStyle w:val="6"/>
        <w:keepNext w:val="0"/>
        <w:keepLines w:val="0"/>
        <w:adjustRightInd w:val="0"/>
        <w:snapToGrid w:val="0"/>
        <w:spacing w:before="0" w:after="0" w:line="560" w:lineRule="exact"/>
        <w:ind w:firstLine="560" w:firstLineChars="200"/>
        <w:rPr>
          <w:rFonts w:ascii="黑体" w:hAnsi="黑体"/>
          <w:b w:val="0"/>
        </w:rPr>
      </w:pPr>
      <w:r>
        <w:rPr>
          <w:rFonts w:ascii="黑体" w:hAnsi="黑体"/>
          <w:b w:val="0"/>
        </w:rPr>
        <w:t>29.</w:t>
      </w:r>
      <w:bookmarkStart w:id="226" w:name="_Hlk112684026"/>
      <w:r>
        <w:rPr>
          <w:rFonts w:hint="eastAsia" w:ascii="黑体" w:hAnsi="黑体"/>
          <w:b w:val="0"/>
        </w:rPr>
        <w:t>谈判</w:t>
      </w:r>
      <w:bookmarkEnd w:id="226"/>
      <w:r>
        <w:rPr>
          <w:rFonts w:hint="eastAsia" w:ascii="黑体" w:hAnsi="黑体"/>
          <w:b w:val="0"/>
        </w:rPr>
        <w:t>及报价</w:t>
      </w:r>
    </w:p>
    <w:p>
      <w:pPr>
        <w:adjustRightInd w:val="0"/>
        <w:snapToGrid w:val="0"/>
        <w:spacing w:line="560" w:lineRule="exact"/>
        <w:ind w:firstLine="560" w:firstLineChars="200"/>
        <w:jc w:val="left"/>
        <w:rPr>
          <w:rFonts w:ascii="宋体" w:hAnsi="宋体"/>
          <w:bCs/>
          <w:sz w:val="28"/>
          <w:szCs w:val="28"/>
        </w:rPr>
      </w:pPr>
      <w:r>
        <w:rPr>
          <w:rFonts w:ascii="宋体" w:hAnsi="宋体"/>
          <w:bCs/>
          <w:sz w:val="28"/>
          <w:szCs w:val="28"/>
        </w:rPr>
        <w:t>29.1谈判的一般规定：</w:t>
      </w:r>
    </w:p>
    <w:p>
      <w:pPr>
        <w:adjustRightInd w:val="0"/>
        <w:snapToGrid w:val="0"/>
        <w:spacing w:line="560" w:lineRule="exact"/>
        <w:ind w:firstLine="560" w:firstLineChars="200"/>
        <w:jc w:val="left"/>
        <w:rPr>
          <w:rFonts w:ascii="宋体" w:hAnsi="宋体" w:cs="宋体"/>
          <w:bCs/>
          <w:kern w:val="0"/>
          <w:sz w:val="28"/>
          <w:szCs w:val="28"/>
        </w:rPr>
      </w:pPr>
      <w:r>
        <w:rPr>
          <w:rFonts w:hint="eastAsia" w:ascii="宋体" w:hAnsi="宋体" w:cs="宋体"/>
          <w:bCs/>
          <w:kern w:val="0"/>
          <w:sz w:val="28"/>
          <w:szCs w:val="28"/>
        </w:rPr>
        <w:t>（</w:t>
      </w:r>
      <w:r>
        <w:rPr>
          <w:rFonts w:ascii="宋体" w:hAnsi="宋体" w:cs="宋体"/>
          <w:bCs/>
          <w:kern w:val="0"/>
          <w:sz w:val="28"/>
          <w:szCs w:val="28"/>
        </w:rPr>
        <w:t>1）在谈判过程中，评审委员会所有成员集中与单一</w:t>
      </w:r>
      <w:r>
        <w:rPr>
          <w:rFonts w:hint="eastAsia" w:ascii="宋体" w:hAnsi="宋体" w:cs="宋体"/>
          <w:bCs/>
          <w:kern w:val="0"/>
          <w:sz w:val="28"/>
          <w:szCs w:val="28"/>
        </w:rPr>
        <w:t>报价</w:t>
      </w:r>
      <w:r>
        <w:rPr>
          <w:rFonts w:ascii="宋体" w:hAnsi="宋体" w:cs="宋体"/>
          <w:bCs/>
          <w:kern w:val="0"/>
          <w:sz w:val="28"/>
          <w:szCs w:val="28"/>
        </w:rPr>
        <w:t>供应商分别进行谈判，并给予所有参加谈判的</w:t>
      </w:r>
      <w:r>
        <w:rPr>
          <w:rFonts w:hint="eastAsia" w:ascii="宋体" w:hAnsi="宋体" w:cs="宋体"/>
          <w:bCs/>
          <w:kern w:val="0"/>
          <w:sz w:val="28"/>
          <w:szCs w:val="28"/>
        </w:rPr>
        <w:t>报价</w:t>
      </w:r>
      <w:r>
        <w:rPr>
          <w:rFonts w:ascii="宋体" w:hAnsi="宋体" w:cs="宋体"/>
          <w:bCs/>
          <w:kern w:val="0"/>
          <w:sz w:val="28"/>
          <w:szCs w:val="28"/>
        </w:rPr>
        <w:t>供应商平等的谈判机会。</w:t>
      </w:r>
      <w:r>
        <w:rPr>
          <w:rFonts w:hint="eastAsia" w:ascii="宋体" w:hAnsi="宋体" w:cs="宋体"/>
          <w:bCs/>
          <w:kern w:val="0"/>
          <w:sz w:val="28"/>
          <w:szCs w:val="28"/>
        </w:rPr>
        <w:t>报价</w:t>
      </w:r>
      <w:r>
        <w:rPr>
          <w:rFonts w:ascii="宋体" w:hAnsi="宋体" w:cs="宋体"/>
          <w:bCs/>
          <w:kern w:val="0"/>
          <w:sz w:val="28"/>
          <w:szCs w:val="28"/>
        </w:rPr>
        <w:t>供应商应</w:t>
      </w:r>
      <w:r>
        <w:rPr>
          <w:rFonts w:hint="eastAsia" w:ascii="宋体" w:hAnsi="宋体" w:cs="宋体"/>
          <w:bCs/>
          <w:kern w:val="0"/>
          <w:sz w:val="28"/>
          <w:szCs w:val="28"/>
        </w:rPr>
        <w:t>当</w:t>
      </w:r>
      <w:r>
        <w:rPr>
          <w:rFonts w:ascii="宋体" w:hAnsi="宋体" w:cs="宋体"/>
          <w:bCs/>
          <w:kern w:val="0"/>
          <w:sz w:val="28"/>
          <w:szCs w:val="28"/>
        </w:rPr>
        <w:t>派</w:t>
      </w:r>
      <w:r>
        <w:rPr>
          <w:rFonts w:hint="eastAsia" w:ascii="宋体" w:hAnsi="宋体" w:cs="宋体"/>
          <w:bCs/>
          <w:snapToGrid w:val="0"/>
          <w:sz w:val="28"/>
          <w:szCs w:val="28"/>
          <w:lang w:val="zh-CN"/>
        </w:rPr>
        <w:t>法定代表人或授权代表及技术人员</w:t>
      </w:r>
      <w:r>
        <w:rPr>
          <w:rFonts w:hint="eastAsia" w:ascii="宋体" w:hAnsi="宋体" w:cs="宋体"/>
          <w:bCs/>
          <w:kern w:val="0"/>
          <w:sz w:val="28"/>
          <w:szCs w:val="28"/>
        </w:rPr>
        <w:t>参加谈判。</w:t>
      </w:r>
      <w:r>
        <w:rPr>
          <w:rFonts w:hint="eastAsia" w:ascii="宋体" w:hAnsi="宋体" w:cs="宋体"/>
          <w:kern w:val="0"/>
          <w:sz w:val="28"/>
          <w:szCs w:val="28"/>
        </w:rPr>
        <w:t>报价供应商每次出场顺序按照提交报价文件的倒序进行。</w:t>
      </w:r>
    </w:p>
    <w:p>
      <w:pPr>
        <w:adjustRightInd w:val="0"/>
        <w:snapToGrid w:val="0"/>
        <w:spacing w:line="560" w:lineRule="exact"/>
        <w:ind w:firstLine="560" w:firstLineChars="200"/>
        <w:jc w:val="left"/>
        <w:rPr>
          <w:rFonts w:ascii="宋体" w:hAnsi="宋体" w:cs="宋体"/>
          <w:bCs/>
          <w:kern w:val="0"/>
          <w:sz w:val="28"/>
          <w:szCs w:val="28"/>
        </w:rPr>
      </w:pPr>
      <w:bookmarkStart w:id="227" w:name="_Hlk128078346"/>
      <w:r>
        <w:rPr>
          <w:rFonts w:hint="eastAsia" w:ascii="宋体" w:hAnsi="宋体" w:cs="宋体"/>
          <w:bCs/>
          <w:kern w:val="0"/>
          <w:sz w:val="28"/>
          <w:szCs w:val="28"/>
        </w:rPr>
        <w:t>（2）通常采用2轮谈判、3次报价，确实需要增加或减少谈判、报价轮次的，应当在谈判文件中载明或经评审委员会认定，并在评审报告中注明理由。</w:t>
      </w:r>
    </w:p>
    <w:p>
      <w:pPr>
        <w:adjustRightInd w:val="0"/>
        <w:snapToGrid w:val="0"/>
        <w:spacing w:line="560" w:lineRule="exact"/>
        <w:ind w:firstLine="560" w:firstLineChars="200"/>
        <w:jc w:val="left"/>
        <w:rPr>
          <w:rFonts w:ascii="宋体" w:hAnsi="宋体" w:cs="宋体"/>
          <w:bCs/>
          <w:kern w:val="0"/>
          <w:sz w:val="28"/>
          <w:szCs w:val="28"/>
        </w:rPr>
      </w:pPr>
      <w:r>
        <w:rPr>
          <w:rFonts w:hint="eastAsia" w:ascii="宋体" w:hAnsi="宋体" w:cs="宋体"/>
          <w:bCs/>
          <w:kern w:val="0"/>
          <w:sz w:val="28"/>
          <w:szCs w:val="28"/>
        </w:rPr>
        <w:t>（3）评审委员会可以根据谈判文件和谈判情况，实质性变动采购需求中的商务、技术要求，以及合同草案条款；实质性变动的内容，应当经采购单位和采购机构确认，并将变更的内容书面通知所有参加谈判的报价供应商；报价供应商可以根据谈判情况变更其报价文件的商务、技术响应内容，并将变更内容形成书面材料，作为报价文件的组成部分送评审委员会；报价供应商书面变更材料应当由其法定代表人或授权代表签字确认。</w:t>
      </w:r>
    </w:p>
    <w:p>
      <w:pPr>
        <w:adjustRightInd w:val="0"/>
        <w:snapToGrid w:val="0"/>
        <w:spacing w:line="560" w:lineRule="exact"/>
        <w:ind w:firstLine="560" w:firstLineChars="200"/>
        <w:jc w:val="left"/>
        <w:rPr>
          <w:rFonts w:ascii="宋体" w:hAnsi="宋体" w:cs="宋体"/>
          <w:bCs/>
          <w:kern w:val="0"/>
          <w:sz w:val="28"/>
          <w:szCs w:val="28"/>
        </w:rPr>
      </w:pPr>
      <w:r>
        <w:rPr>
          <w:rFonts w:hint="eastAsia" w:ascii="宋体" w:hAnsi="宋体" w:cs="宋体"/>
          <w:bCs/>
          <w:kern w:val="0"/>
          <w:sz w:val="28"/>
          <w:szCs w:val="28"/>
        </w:rPr>
        <w:t>（4）谈判过程中，谈判任何一方不得透露与谈判有关的其他报价供应商的商务、技术、价格等信息；报价供应商应当在谈判室外独立填写报价单，并由其法定代表人或其授权代表签字确认，在规定时间内密封提交评审委员会。</w:t>
      </w:r>
    </w:p>
    <w:p>
      <w:pPr>
        <w:adjustRightInd w:val="0"/>
        <w:snapToGrid w:val="0"/>
        <w:spacing w:line="560" w:lineRule="exact"/>
        <w:ind w:firstLine="560" w:firstLineChars="200"/>
        <w:jc w:val="left"/>
        <w:rPr>
          <w:rFonts w:ascii="宋体" w:hAnsi="宋体" w:cs="宋体"/>
          <w:bCs/>
          <w:kern w:val="0"/>
          <w:sz w:val="28"/>
          <w:szCs w:val="28"/>
        </w:rPr>
      </w:pPr>
      <w:r>
        <w:rPr>
          <w:rFonts w:hint="eastAsia" w:ascii="宋体" w:hAnsi="宋体" w:cs="宋体"/>
          <w:bCs/>
          <w:kern w:val="0"/>
          <w:sz w:val="28"/>
          <w:szCs w:val="28"/>
        </w:rPr>
        <w:t>（</w:t>
      </w:r>
      <w:r>
        <w:rPr>
          <w:rFonts w:ascii="宋体" w:hAnsi="宋体" w:cs="宋体"/>
          <w:bCs/>
          <w:kern w:val="0"/>
          <w:sz w:val="28"/>
          <w:szCs w:val="28"/>
        </w:rPr>
        <w:t>5</w:t>
      </w:r>
      <w:r>
        <w:rPr>
          <w:rFonts w:hint="eastAsia" w:ascii="宋体" w:hAnsi="宋体" w:cs="宋体"/>
          <w:bCs/>
          <w:kern w:val="0"/>
          <w:sz w:val="28"/>
          <w:szCs w:val="28"/>
        </w:rPr>
        <w:t>）报价供应商在提交最终报价之前，可以根据情况退出谈判；采购机构应当退还谈判保证金；提交最终报价的报价供应商一般不得少于3家；只有2家的，按照本章第</w:t>
      </w:r>
      <w:r>
        <w:rPr>
          <w:rFonts w:ascii="宋体" w:hAnsi="宋体" w:cs="宋体"/>
          <w:bCs/>
          <w:kern w:val="0"/>
          <w:sz w:val="28"/>
          <w:szCs w:val="28"/>
        </w:rPr>
        <w:t>41.1</w:t>
      </w:r>
      <w:r>
        <w:rPr>
          <w:rFonts w:hint="eastAsia" w:ascii="宋体" w:hAnsi="宋体" w:cs="宋体"/>
          <w:bCs/>
          <w:kern w:val="0"/>
          <w:sz w:val="28"/>
          <w:szCs w:val="28"/>
        </w:rPr>
        <w:t>条有关规定执行。最终报价是报价供应商报价文件的有效组成部分。</w:t>
      </w:r>
    </w:p>
    <w:p>
      <w:pPr>
        <w:adjustRightInd w:val="0"/>
        <w:snapToGrid w:val="0"/>
        <w:spacing w:line="560" w:lineRule="exact"/>
        <w:ind w:firstLine="560" w:firstLineChars="200"/>
        <w:jc w:val="left"/>
        <w:rPr>
          <w:rFonts w:ascii="宋体" w:hAnsi="宋体" w:cs="宋体"/>
          <w:bCs/>
          <w:kern w:val="0"/>
          <w:sz w:val="28"/>
          <w:szCs w:val="28"/>
        </w:rPr>
      </w:pPr>
      <w:r>
        <w:rPr>
          <w:rFonts w:hint="eastAsia" w:ascii="宋体" w:hAnsi="宋体" w:cs="宋体"/>
          <w:bCs/>
          <w:kern w:val="0"/>
          <w:sz w:val="28"/>
          <w:szCs w:val="28"/>
        </w:rPr>
        <w:t>（</w:t>
      </w:r>
      <w:r>
        <w:rPr>
          <w:rFonts w:ascii="宋体" w:hAnsi="宋体" w:cs="宋体"/>
          <w:bCs/>
          <w:kern w:val="0"/>
          <w:sz w:val="28"/>
          <w:szCs w:val="28"/>
        </w:rPr>
        <w:t>6</w:t>
      </w:r>
      <w:r>
        <w:rPr>
          <w:rFonts w:hint="eastAsia" w:ascii="宋体" w:hAnsi="宋体" w:cs="宋体"/>
          <w:bCs/>
          <w:kern w:val="0"/>
          <w:sz w:val="28"/>
          <w:szCs w:val="28"/>
        </w:rPr>
        <w:t>）经过2轮谈判后，报价供应商响应内容仍然不能满足谈判文件要求，或谈判过程中发现报价供应商存在违法违规行为的，评审委员会应当将其淘汰，不允许参加最终报价，书面告知并说明理由。</w:t>
      </w:r>
    </w:p>
    <w:p>
      <w:pPr>
        <w:adjustRightInd w:val="0"/>
        <w:snapToGrid w:val="0"/>
        <w:spacing w:line="560" w:lineRule="exact"/>
        <w:ind w:firstLine="560" w:firstLineChars="200"/>
        <w:jc w:val="left"/>
        <w:rPr>
          <w:rFonts w:ascii="宋体" w:hAnsi="宋体" w:cs="宋体"/>
          <w:bCs/>
          <w:kern w:val="0"/>
          <w:sz w:val="28"/>
          <w:szCs w:val="28"/>
        </w:rPr>
      </w:pPr>
      <w:r>
        <w:rPr>
          <w:rFonts w:hint="eastAsia" w:ascii="宋体" w:hAnsi="宋体" w:cs="宋体"/>
          <w:bCs/>
          <w:kern w:val="0"/>
          <w:sz w:val="28"/>
          <w:szCs w:val="28"/>
        </w:rPr>
        <w:t>（</w:t>
      </w:r>
      <w:r>
        <w:rPr>
          <w:rFonts w:ascii="宋体" w:hAnsi="宋体" w:cs="宋体"/>
          <w:bCs/>
          <w:kern w:val="0"/>
          <w:sz w:val="28"/>
          <w:szCs w:val="28"/>
        </w:rPr>
        <w:t>7）每轮谈判中，参加谈判的</w:t>
      </w:r>
      <w:r>
        <w:rPr>
          <w:rFonts w:hint="eastAsia" w:ascii="宋体" w:hAnsi="宋体" w:cs="宋体"/>
          <w:bCs/>
          <w:kern w:val="0"/>
          <w:sz w:val="28"/>
          <w:szCs w:val="28"/>
        </w:rPr>
        <w:t>报价</w:t>
      </w:r>
      <w:r>
        <w:rPr>
          <w:rFonts w:ascii="宋体" w:hAnsi="宋体" w:cs="宋体"/>
          <w:bCs/>
          <w:kern w:val="0"/>
          <w:sz w:val="28"/>
          <w:szCs w:val="28"/>
        </w:rPr>
        <w:t>供应商应</w:t>
      </w:r>
      <w:r>
        <w:rPr>
          <w:rFonts w:hint="eastAsia" w:ascii="宋体" w:hAnsi="宋体" w:cs="宋体"/>
          <w:bCs/>
          <w:kern w:val="0"/>
          <w:sz w:val="28"/>
          <w:szCs w:val="28"/>
        </w:rPr>
        <w:t>当</w:t>
      </w:r>
      <w:r>
        <w:rPr>
          <w:rFonts w:ascii="宋体" w:hAnsi="宋体" w:cs="宋体"/>
          <w:bCs/>
          <w:kern w:val="0"/>
          <w:sz w:val="28"/>
          <w:szCs w:val="28"/>
        </w:rPr>
        <w:t>认真、准确、完整地记录评审委员会</w:t>
      </w:r>
      <w:bookmarkEnd w:id="227"/>
      <w:r>
        <w:rPr>
          <w:rFonts w:ascii="宋体" w:hAnsi="宋体" w:cs="宋体"/>
          <w:bCs/>
          <w:kern w:val="0"/>
          <w:sz w:val="28"/>
          <w:szCs w:val="28"/>
        </w:rPr>
        <w:t>提出的问题和要求。重新提交的报价文件应当对评审委员会书面通知提出的要求和条件</w:t>
      </w:r>
      <w:r>
        <w:rPr>
          <w:rFonts w:hint="eastAsia" w:ascii="宋体" w:hAnsi="宋体" w:cs="宋体"/>
          <w:bCs/>
          <w:kern w:val="0"/>
          <w:sz w:val="28"/>
          <w:szCs w:val="28"/>
        </w:rPr>
        <w:t>作出明确响应，并由法定代表人或授权代表签字确认。</w:t>
      </w:r>
    </w:p>
    <w:p>
      <w:pPr>
        <w:spacing w:line="560" w:lineRule="exact"/>
        <w:ind w:firstLine="560" w:firstLineChars="200"/>
        <w:rPr>
          <w:rFonts w:ascii="宋体" w:hAnsi="宋体" w:cs="宋体"/>
          <w:bCs/>
          <w:snapToGrid w:val="0"/>
          <w:sz w:val="28"/>
          <w:szCs w:val="28"/>
        </w:rPr>
      </w:pPr>
      <w:r>
        <w:rPr>
          <w:rFonts w:ascii="宋体" w:hAnsi="宋体" w:cs="宋体"/>
          <w:bCs/>
          <w:snapToGrid w:val="0"/>
          <w:sz w:val="28"/>
          <w:szCs w:val="28"/>
        </w:rPr>
        <w:t>29.2</w:t>
      </w:r>
      <w:r>
        <w:rPr>
          <w:rFonts w:hint="eastAsia" w:ascii="宋体" w:hAnsi="宋体" w:cs="宋体"/>
          <w:bCs/>
          <w:snapToGrid w:val="0"/>
          <w:sz w:val="28"/>
          <w:szCs w:val="28"/>
        </w:rPr>
        <w:t>第一轮谈判。</w:t>
      </w:r>
    </w:p>
    <w:p>
      <w:pPr>
        <w:spacing w:line="560" w:lineRule="exact"/>
        <w:ind w:firstLine="560" w:firstLineChars="200"/>
        <w:rPr>
          <w:rFonts w:ascii="宋体" w:hAnsi="宋体" w:cs="宋体"/>
          <w:bCs/>
          <w:snapToGrid w:val="0"/>
          <w:sz w:val="28"/>
          <w:szCs w:val="28"/>
        </w:rPr>
      </w:pPr>
      <w:r>
        <w:rPr>
          <w:rFonts w:hint="eastAsia" w:ascii="宋体" w:hAnsi="宋体" w:cs="宋体"/>
          <w:bCs/>
          <w:snapToGrid w:val="0"/>
          <w:sz w:val="28"/>
          <w:szCs w:val="28"/>
        </w:rPr>
        <w:t>（</w:t>
      </w:r>
      <w:r>
        <w:rPr>
          <w:rFonts w:ascii="宋体" w:hAnsi="宋体" w:cs="宋体"/>
          <w:bCs/>
          <w:snapToGrid w:val="0"/>
          <w:sz w:val="28"/>
          <w:szCs w:val="28"/>
        </w:rPr>
        <w:t>1）</w:t>
      </w:r>
      <w:r>
        <w:rPr>
          <w:rFonts w:hint="eastAsia" w:ascii="宋体" w:hAnsi="宋体" w:cs="宋体"/>
          <w:bCs/>
          <w:snapToGrid w:val="0"/>
          <w:sz w:val="28"/>
          <w:szCs w:val="28"/>
        </w:rPr>
        <w:t>报价</w:t>
      </w:r>
      <w:r>
        <w:rPr>
          <w:rFonts w:ascii="宋体" w:hAnsi="宋体" w:cs="宋体"/>
          <w:bCs/>
          <w:snapToGrid w:val="0"/>
          <w:sz w:val="28"/>
          <w:szCs w:val="28"/>
        </w:rPr>
        <w:t>供应商介绍单位概况、技术方案、价格构成、服务承诺等事项，解答、澄清承诺评审委员会提出的质疑。</w:t>
      </w:r>
    </w:p>
    <w:p>
      <w:pPr>
        <w:spacing w:line="560" w:lineRule="exact"/>
        <w:ind w:firstLine="560" w:firstLineChars="200"/>
        <w:rPr>
          <w:rFonts w:ascii="宋体" w:hAnsi="宋体" w:cs="宋体"/>
          <w:bCs/>
          <w:snapToGrid w:val="0"/>
          <w:sz w:val="28"/>
          <w:szCs w:val="28"/>
        </w:rPr>
      </w:pPr>
      <w:bookmarkStart w:id="228" w:name="_Hlk128078379"/>
      <w:r>
        <w:rPr>
          <w:rFonts w:hint="eastAsia" w:ascii="宋体" w:hAnsi="宋体" w:cs="宋体"/>
          <w:bCs/>
          <w:snapToGrid w:val="0"/>
          <w:sz w:val="28"/>
          <w:szCs w:val="28"/>
        </w:rPr>
        <w:t>（</w:t>
      </w:r>
      <w:r>
        <w:rPr>
          <w:rFonts w:ascii="宋体" w:hAnsi="宋体" w:cs="宋体"/>
          <w:bCs/>
          <w:snapToGrid w:val="0"/>
          <w:sz w:val="28"/>
          <w:szCs w:val="28"/>
        </w:rPr>
        <w:t>2）评审委员会就</w:t>
      </w:r>
      <w:r>
        <w:rPr>
          <w:rFonts w:hint="eastAsia" w:ascii="宋体" w:hAnsi="宋体" w:cs="宋体"/>
          <w:bCs/>
          <w:snapToGrid w:val="0"/>
          <w:sz w:val="28"/>
          <w:szCs w:val="28"/>
        </w:rPr>
        <w:t>报价文件的</w:t>
      </w:r>
      <w:bookmarkEnd w:id="228"/>
      <w:r>
        <w:rPr>
          <w:rFonts w:hint="eastAsia" w:ascii="宋体" w:hAnsi="宋体" w:cs="宋体"/>
          <w:bCs/>
          <w:snapToGrid w:val="0"/>
          <w:sz w:val="28"/>
          <w:szCs w:val="28"/>
        </w:rPr>
        <w:t>商务与技术响应情况，与报价供应商进行谈判。</w:t>
      </w:r>
    </w:p>
    <w:p>
      <w:pPr>
        <w:spacing w:line="560" w:lineRule="exact"/>
        <w:ind w:firstLine="560" w:firstLineChars="200"/>
        <w:rPr>
          <w:rFonts w:ascii="宋体" w:hAnsi="宋体" w:cs="宋体"/>
          <w:bCs/>
          <w:snapToGrid w:val="0"/>
          <w:sz w:val="28"/>
          <w:szCs w:val="28"/>
        </w:rPr>
      </w:pPr>
      <w:r>
        <w:rPr>
          <w:rFonts w:hint="eastAsia" w:ascii="宋体" w:hAnsi="宋体" w:cs="宋体"/>
          <w:bCs/>
          <w:snapToGrid w:val="0"/>
          <w:sz w:val="28"/>
          <w:szCs w:val="28"/>
        </w:rPr>
        <w:t>（</w:t>
      </w:r>
      <w:r>
        <w:rPr>
          <w:rFonts w:ascii="宋体" w:hAnsi="宋体" w:cs="宋体"/>
          <w:bCs/>
          <w:snapToGrid w:val="0"/>
          <w:sz w:val="28"/>
          <w:szCs w:val="28"/>
        </w:rPr>
        <w:t>3）</w:t>
      </w:r>
      <w:bookmarkStart w:id="229" w:name="_Hlk112684563"/>
      <w:r>
        <w:rPr>
          <w:rFonts w:hint="eastAsia" w:ascii="宋体" w:hAnsi="宋体" w:cs="宋体"/>
          <w:bCs/>
          <w:snapToGrid w:val="0"/>
          <w:sz w:val="28"/>
          <w:szCs w:val="28"/>
        </w:rPr>
        <w:t>评审委员会</w:t>
      </w:r>
      <w:bookmarkEnd w:id="229"/>
      <w:r>
        <w:rPr>
          <w:rFonts w:hint="eastAsia" w:ascii="宋体" w:hAnsi="宋体" w:cs="宋体"/>
          <w:bCs/>
          <w:snapToGrid w:val="0"/>
          <w:sz w:val="28"/>
          <w:szCs w:val="28"/>
        </w:rPr>
        <w:t>可以根据谈判文件和谈判情况，实质性变动采购需求中的商务、技术要求，以及合同草案条款，并将变更的内容书面通知所有参加谈判的报价供应商。</w:t>
      </w:r>
    </w:p>
    <w:p>
      <w:pPr>
        <w:spacing w:line="560" w:lineRule="exact"/>
        <w:ind w:firstLine="560" w:firstLineChars="200"/>
        <w:rPr>
          <w:rFonts w:ascii="宋体" w:hAnsi="宋体" w:cs="宋体"/>
          <w:bCs/>
          <w:snapToGrid w:val="0"/>
          <w:sz w:val="28"/>
          <w:szCs w:val="28"/>
        </w:rPr>
      </w:pPr>
      <w:r>
        <w:rPr>
          <w:rFonts w:hint="eastAsia" w:ascii="宋体" w:hAnsi="宋体" w:cs="宋体"/>
          <w:bCs/>
          <w:snapToGrid w:val="0"/>
          <w:sz w:val="28"/>
          <w:szCs w:val="28"/>
        </w:rPr>
        <w:t>（</w:t>
      </w:r>
      <w:r>
        <w:rPr>
          <w:rFonts w:ascii="宋体" w:hAnsi="宋体" w:cs="宋体"/>
          <w:bCs/>
          <w:snapToGrid w:val="0"/>
          <w:sz w:val="28"/>
          <w:szCs w:val="28"/>
        </w:rPr>
        <w:t>4）</w:t>
      </w:r>
      <w:r>
        <w:rPr>
          <w:rFonts w:hint="eastAsia" w:ascii="宋体" w:hAnsi="宋体" w:cs="宋体"/>
          <w:bCs/>
          <w:snapToGrid w:val="0"/>
          <w:sz w:val="28"/>
          <w:szCs w:val="28"/>
        </w:rPr>
        <w:t>报价供应商应当按照谈判文件的变动情况和评审委员会的要求提交第二次报价文件</w:t>
      </w:r>
      <w:r>
        <w:rPr>
          <w:rFonts w:ascii="宋体" w:hAnsi="宋体" w:cs="宋体"/>
          <w:bCs/>
          <w:snapToGrid w:val="0"/>
          <w:sz w:val="28"/>
          <w:szCs w:val="28"/>
        </w:rPr>
        <w:t>（</w:t>
      </w:r>
      <w:r>
        <w:rPr>
          <w:rFonts w:hint="eastAsia" w:ascii="宋体" w:hAnsi="宋体" w:cs="宋体"/>
          <w:bCs/>
          <w:snapToGrid w:val="0"/>
          <w:sz w:val="28"/>
          <w:szCs w:val="28"/>
        </w:rPr>
        <w:t>报价</w:t>
      </w:r>
      <w:r>
        <w:rPr>
          <w:rFonts w:ascii="宋体" w:hAnsi="宋体" w:cs="宋体"/>
          <w:bCs/>
          <w:snapToGrid w:val="0"/>
          <w:sz w:val="28"/>
          <w:szCs w:val="28"/>
        </w:rPr>
        <w:t>供应</w:t>
      </w:r>
      <w:r>
        <w:rPr>
          <w:rFonts w:hint="eastAsia" w:ascii="宋体" w:hAnsi="宋体" w:cs="宋体"/>
          <w:bCs/>
          <w:snapToGrid w:val="0"/>
          <w:sz w:val="28"/>
          <w:szCs w:val="28"/>
        </w:rPr>
        <w:t>商首次提交的报价文件中的报价为第一次报价）。</w:t>
      </w:r>
    </w:p>
    <w:p>
      <w:pPr>
        <w:spacing w:line="560" w:lineRule="exact"/>
        <w:ind w:firstLine="560" w:firstLineChars="200"/>
        <w:rPr>
          <w:rFonts w:ascii="宋体" w:hAnsi="宋体" w:cs="宋体"/>
          <w:bCs/>
          <w:snapToGrid w:val="0"/>
          <w:sz w:val="28"/>
          <w:szCs w:val="28"/>
        </w:rPr>
      </w:pPr>
      <w:r>
        <w:rPr>
          <w:rFonts w:ascii="宋体" w:hAnsi="宋体" w:cs="宋体"/>
          <w:bCs/>
          <w:snapToGrid w:val="0"/>
          <w:sz w:val="28"/>
          <w:szCs w:val="28"/>
        </w:rPr>
        <w:t>29.3</w:t>
      </w:r>
      <w:r>
        <w:rPr>
          <w:rFonts w:hint="eastAsia" w:ascii="宋体" w:hAnsi="宋体" w:cs="宋体"/>
          <w:bCs/>
          <w:snapToGrid w:val="0"/>
          <w:sz w:val="28"/>
          <w:szCs w:val="28"/>
        </w:rPr>
        <w:t>第二轮谈判。评审委员会根据第一轮谈判情况、第二次报价和澄清承诺，集中与单一报价供应商进行第二轮谈判。</w:t>
      </w:r>
    </w:p>
    <w:p>
      <w:pPr>
        <w:spacing w:line="560" w:lineRule="exact"/>
        <w:ind w:firstLine="560" w:firstLineChars="200"/>
        <w:rPr>
          <w:rFonts w:ascii="宋体" w:hAnsi="宋体" w:cs="宋体"/>
          <w:bCs/>
          <w:snapToGrid w:val="0"/>
          <w:sz w:val="28"/>
          <w:szCs w:val="28"/>
        </w:rPr>
      </w:pPr>
      <w:r>
        <w:rPr>
          <w:rFonts w:ascii="宋体" w:hAnsi="宋体" w:cs="宋体"/>
          <w:bCs/>
          <w:snapToGrid w:val="0"/>
          <w:sz w:val="28"/>
          <w:szCs w:val="28"/>
        </w:rPr>
        <w:t>29.4</w:t>
      </w:r>
      <w:r>
        <w:rPr>
          <w:rFonts w:hint="eastAsia" w:ascii="宋体" w:hAnsi="宋体" w:cs="宋体"/>
          <w:bCs/>
          <w:snapToGrid w:val="0"/>
          <w:sz w:val="28"/>
          <w:szCs w:val="28"/>
        </w:rPr>
        <w:t>本项目需要增加或减少谈判、报价轮次的，在专用文件中载明或经</w:t>
      </w:r>
      <w:bookmarkStart w:id="230" w:name="_Hlk112688669"/>
      <w:r>
        <w:rPr>
          <w:rFonts w:hint="eastAsia" w:ascii="宋体" w:hAnsi="宋体" w:cs="宋体"/>
          <w:bCs/>
          <w:snapToGrid w:val="0"/>
          <w:sz w:val="28"/>
          <w:szCs w:val="28"/>
        </w:rPr>
        <w:t>评审委员会</w:t>
      </w:r>
      <w:bookmarkEnd w:id="230"/>
      <w:r>
        <w:rPr>
          <w:rFonts w:hint="eastAsia" w:ascii="宋体" w:hAnsi="宋体" w:cs="宋体"/>
          <w:bCs/>
          <w:snapToGrid w:val="0"/>
          <w:sz w:val="28"/>
          <w:szCs w:val="28"/>
        </w:rPr>
        <w:t>认定，并在评审报告中注明理由。</w:t>
      </w:r>
    </w:p>
    <w:p>
      <w:pPr>
        <w:spacing w:line="560" w:lineRule="exact"/>
        <w:ind w:firstLine="560" w:firstLineChars="200"/>
        <w:rPr>
          <w:rFonts w:ascii="宋体" w:hAnsi="宋体" w:cs="宋体"/>
          <w:bCs/>
          <w:snapToGrid w:val="0"/>
          <w:sz w:val="28"/>
          <w:szCs w:val="28"/>
        </w:rPr>
      </w:pPr>
      <w:r>
        <w:rPr>
          <w:rFonts w:ascii="宋体" w:hAnsi="宋体" w:cs="宋体"/>
          <w:bCs/>
          <w:snapToGrid w:val="0"/>
          <w:sz w:val="28"/>
          <w:szCs w:val="28"/>
        </w:rPr>
        <w:t xml:space="preserve">29.5 </w:t>
      </w:r>
      <w:r>
        <w:rPr>
          <w:rFonts w:hint="eastAsia" w:ascii="宋体" w:hAnsi="宋体" w:cs="宋体"/>
          <w:bCs/>
          <w:snapToGrid w:val="0"/>
          <w:sz w:val="28"/>
          <w:szCs w:val="28"/>
        </w:rPr>
        <w:t>最</w:t>
      </w:r>
      <w:bookmarkStart w:id="231" w:name="_Hlk112688760"/>
      <w:r>
        <w:rPr>
          <w:rFonts w:hint="eastAsia" w:ascii="宋体" w:hAnsi="宋体" w:cs="宋体"/>
          <w:bCs/>
          <w:snapToGrid w:val="0"/>
          <w:sz w:val="28"/>
          <w:szCs w:val="28"/>
        </w:rPr>
        <w:t>终</w:t>
      </w:r>
      <w:bookmarkEnd w:id="231"/>
      <w:r>
        <w:rPr>
          <w:rFonts w:hint="eastAsia" w:ascii="宋体" w:hAnsi="宋体" w:cs="宋体"/>
          <w:bCs/>
          <w:snapToGrid w:val="0"/>
          <w:sz w:val="28"/>
          <w:szCs w:val="28"/>
        </w:rPr>
        <w:t>报价。</w:t>
      </w:r>
    </w:p>
    <w:p>
      <w:pPr>
        <w:spacing w:line="560" w:lineRule="exact"/>
        <w:ind w:firstLine="560" w:firstLineChars="200"/>
        <w:rPr>
          <w:rFonts w:ascii="宋体" w:hAnsi="宋体" w:cs="宋体"/>
          <w:bCs/>
          <w:snapToGrid w:val="0"/>
          <w:sz w:val="28"/>
          <w:szCs w:val="28"/>
        </w:rPr>
      </w:pPr>
      <w:r>
        <w:rPr>
          <w:rFonts w:hint="eastAsia" w:ascii="宋体" w:hAnsi="宋体" w:cs="宋体"/>
          <w:bCs/>
          <w:snapToGrid w:val="0"/>
          <w:sz w:val="28"/>
          <w:szCs w:val="28"/>
        </w:rPr>
        <w:t>谈判结束后，评审委员会应当要求符合谈判文件规定的实质性要求的报价供应商在规定时间内提交最终报价。最终报价由法定代表人或授权代表签字确认。</w:t>
      </w:r>
    </w:p>
    <w:p>
      <w:pPr>
        <w:adjustRightInd w:val="0"/>
        <w:snapToGrid w:val="0"/>
        <w:spacing w:line="560" w:lineRule="exact"/>
        <w:ind w:firstLine="560" w:firstLineChars="200"/>
        <w:jc w:val="left"/>
        <w:rPr>
          <w:rFonts w:ascii="宋体" w:hAnsi="宋体" w:cs="宋体"/>
          <w:bCs/>
          <w:kern w:val="0"/>
          <w:sz w:val="28"/>
          <w:szCs w:val="28"/>
        </w:rPr>
      </w:pPr>
      <w:r>
        <w:rPr>
          <w:rFonts w:hint="eastAsia" w:ascii="宋体" w:hAnsi="宋体" w:cs="宋体"/>
          <w:bCs/>
          <w:kern w:val="0"/>
          <w:sz w:val="28"/>
          <w:szCs w:val="28"/>
        </w:rPr>
        <w:t>（</w:t>
      </w:r>
      <w:r>
        <w:rPr>
          <w:rFonts w:ascii="宋体" w:hAnsi="宋体" w:cs="宋体"/>
          <w:bCs/>
          <w:kern w:val="0"/>
          <w:sz w:val="28"/>
          <w:szCs w:val="28"/>
        </w:rPr>
        <w:t>1）谈判文件能够详细列明采购需求的技术、服务要求的，谈判结束后，评审委员会应当要求所有</w:t>
      </w:r>
      <w:r>
        <w:rPr>
          <w:rFonts w:hint="eastAsia" w:ascii="宋体" w:hAnsi="宋体" w:cs="宋体"/>
          <w:bCs/>
          <w:kern w:val="0"/>
          <w:sz w:val="28"/>
          <w:szCs w:val="28"/>
        </w:rPr>
        <w:t>报价</w:t>
      </w:r>
      <w:r>
        <w:rPr>
          <w:rFonts w:ascii="宋体" w:hAnsi="宋体" w:cs="宋体"/>
          <w:bCs/>
          <w:kern w:val="0"/>
          <w:sz w:val="28"/>
          <w:szCs w:val="28"/>
        </w:rPr>
        <w:t>供应商在规定时间内提交最终报价。</w:t>
      </w:r>
    </w:p>
    <w:p>
      <w:pPr>
        <w:adjustRightInd w:val="0"/>
        <w:snapToGrid w:val="0"/>
        <w:spacing w:line="560" w:lineRule="exact"/>
        <w:ind w:firstLine="560" w:firstLineChars="200"/>
        <w:jc w:val="left"/>
        <w:rPr>
          <w:rFonts w:ascii="宋体" w:hAnsi="宋体" w:cs="宋体"/>
          <w:bCs/>
          <w:kern w:val="0"/>
          <w:sz w:val="28"/>
          <w:szCs w:val="28"/>
        </w:rPr>
      </w:pPr>
      <w:r>
        <w:rPr>
          <w:rFonts w:hint="eastAsia" w:ascii="宋体" w:hAnsi="宋体" w:cs="宋体"/>
          <w:bCs/>
          <w:kern w:val="0"/>
          <w:sz w:val="28"/>
          <w:szCs w:val="28"/>
        </w:rPr>
        <w:t>（</w:t>
      </w:r>
      <w:r>
        <w:rPr>
          <w:rFonts w:ascii="宋体" w:hAnsi="宋体" w:cs="宋体"/>
          <w:bCs/>
          <w:kern w:val="0"/>
          <w:sz w:val="28"/>
          <w:szCs w:val="28"/>
        </w:rPr>
        <w:t>2）谈判文件不能详细列明采购需求的技术、服务要求，需经谈判由</w:t>
      </w:r>
      <w:r>
        <w:rPr>
          <w:rFonts w:hint="eastAsia" w:ascii="宋体" w:hAnsi="宋体" w:cs="宋体"/>
          <w:bCs/>
          <w:kern w:val="0"/>
          <w:sz w:val="28"/>
          <w:szCs w:val="28"/>
        </w:rPr>
        <w:t>报价</w:t>
      </w:r>
      <w:r>
        <w:rPr>
          <w:rFonts w:ascii="宋体" w:hAnsi="宋体" w:cs="宋体"/>
          <w:bCs/>
          <w:kern w:val="0"/>
          <w:sz w:val="28"/>
          <w:szCs w:val="28"/>
        </w:rPr>
        <w:t>供应商提供最终设计方案或解决方案的，谈判结束后，评审委员会应当按照少数服从多数的原则投票推荐3家以上</w:t>
      </w:r>
      <w:r>
        <w:rPr>
          <w:rFonts w:hint="eastAsia" w:ascii="宋体" w:hAnsi="宋体" w:cs="宋体"/>
          <w:bCs/>
          <w:kern w:val="0"/>
          <w:sz w:val="28"/>
          <w:szCs w:val="28"/>
        </w:rPr>
        <w:t>报价</w:t>
      </w:r>
      <w:r>
        <w:rPr>
          <w:rFonts w:ascii="宋体" w:hAnsi="宋体" w:cs="宋体"/>
          <w:bCs/>
          <w:kern w:val="0"/>
          <w:sz w:val="28"/>
          <w:szCs w:val="28"/>
        </w:rPr>
        <w:t>供应商的设计方案或解决方案，并要求其在规定时间内提交最终报价。</w:t>
      </w:r>
    </w:p>
    <w:p>
      <w:pPr>
        <w:adjustRightInd w:val="0"/>
        <w:snapToGrid w:val="0"/>
        <w:spacing w:line="560" w:lineRule="exact"/>
        <w:ind w:firstLine="560" w:firstLineChars="200"/>
        <w:jc w:val="left"/>
        <w:rPr>
          <w:rFonts w:ascii="宋体" w:hAnsi="宋体" w:cs="宋体"/>
          <w:bCs/>
          <w:kern w:val="0"/>
          <w:sz w:val="28"/>
          <w:szCs w:val="28"/>
        </w:rPr>
      </w:pPr>
      <w:r>
        <w:rPr>
          <w:rFonts w:hint="eastAsia" w:ascii="宋体" w:hAnsi="宋体" w:cs="宋体"/>
          <w:bCs/>
          <w:kern w:val="0"/>
          <w:sz w:val="28"/>
          <w:szCs w:val="28"/>
        </w:rPr>
        <w:t>（</w:t>
      </w:r>
      <w:r>
        <w:rPr>
          <w:rFonts w:ascii="宋体" w:hAnsi="宋体" w:cs="宋体"/>
          <w:bCs/>
          <w:kern w:val="0"/>
          <w:sz w:val="28"/>
          <w:szCs w:val="28"/>
        </w:rPr>
        <w:t>3）</w:t>
      </w:r>
      <w:r>
        <w:rPr>
          <w:rFonts w:hint="eastAsia" w:ascii="宋体" w:hAnsi="宋体" w:cs="宋体"/>
          <w:bCs/>
          <w:kern w:val="0"/>
          <w:sz w:val="28"/>
          <w:szCs w:val="28"/>
        </w:rPr>
        <w:t>最终报价是报价供应商报价文件的有效组成部分。符合本章第</w:t>
      </w:r>
      <w:r>
        <w:rPr>
          <w:rFonts w:ascii="宋体" w:hAnsi="宋体" w:cs="宋体"/>
          <w:bCs/>
          <w:kern w:val="0"/>
          <w:sz w:val="28"/>
          <w:szCs w:val="28"/>
        </w:rPr>
        <w:t>41.1</w:t>
      </w:r>
      <w:r>
        <w:rPr>
          <w:rFonts w:hint="eastAsia" w:ascii="宋体" w:hAnsi="宋体" w:cs="宋体"/>
          <w:bCs/>
          <w:kern w:val="0"/>
          <w:sz w:val="28"/>
          <w:szCs w:val="28"/>
        </w:rPr>
        <w:t>条特殊情形规定的，提交最终报价的报价供应商可以为</w:t>
      </w:r>
      <w:r>
        <w:rPr>
          <w:rFonts w:ascii="宋体" w:hAnsi="宋体" w:cs="宋体"/>
          <w:bCs/>
          <w:kern w:val="0"/>
          <w:sz w:val="28"/>
          <w:szCs w:val="28"/>
        </w:rPr>
        <w:t>2家。</w:t>
      </w:r>
    </w:p>
    <w:p>
      <w:pPr>
        <w:pStyle w:val="6"/>
        <w:keepNext w:val="0"/>
        <w:keepLines w:val="0"/>
        <w:adjustRightInd w:val="0"/>
        <w:snapToGrid w:val="0"/>
        <w:spacing w:before="0" w:after="0" w:line="560" w:lineRule="exact"/>
        <w:ind w:firstLine="560" w:firstLineChars="200"/>
        <w:rPr>
          <w:rFonts w:ascii="黑体" w:hAnsi="黑体"/>
          <w:b w:val="0"/>
        </w:rPr>
      </w:pPr>
      <w:bookmarkStart w:id="232" w:name="_Toc19887"/>
      <w:bookmarkStart w:id="233" w:name="_Toc23915"/>
      <w:bookmarkStart w:id="234" w:name="_Toc9368"/>
      <w:bookmarkStart w:id="235" w:name="_Toc14429"/>
      <w:bookmarkStart w:id="236" w:name="_Toc19389"/>
      <w:bookmarkStart w:id="237" w:name="_Toc112768414"/>
      <w:r>
        <w:rPr>
          <w:rFonts w:ascii="黑体" w:hAnsi="黑体"/>
          <w:b w:val="0"/>
        </w:rPr>
        <w:t>30.</w:t>
      </w:r>
      <w:r>
        <w:rPr>
          <w:rFonts w:hint="eastAsia" w:ascii="黑体" w:hAnsi="黑体"/>
          <w:b w:val="0"/>
        </w:rPr>
        <w:t>商务、技术评审</w:t>
      </w:r>
    </w:p>
    <w:p>
      <w:pPr>
        <w:spacing w:line="560" w:lineRule="exact"/>
        <w:ind w:firstLine="560" w:firstLineChars="200"/>
        <w:rPr>
          <w:sz w:val="28"/>
          <w:szCs w:val="28"/>
        </w:rPr>
      </w:pPr>
      <w:r>
        <w:rPr>
          <w:rFonts w:hint="eastAsia"/>
          <w:sz w:val="28"/>
          <w:szCs w:val="28"/>
        </w:rPr>
        <w:t>评审委员会按照谈判文件中明确的评审方法和标准，对资格性和符合性审查合格</w:t>
      </w:r>
      <w:r>
        <w:rPr>
          <w:rFonts w:hint="eastAsia" w:ascii="宋体" w:hAnsi="宋体"/>
          <w:sz w:val="28"/>
          <w:szCs w:val="28"/>
        </w:rPr>
        <w:t>且提交最终报价的供应商</w:t>
      </w:r>
      <w:r>
        <w:rPr>
          <w:rFonts w:hint="eastAsia"/>
          <w:sz w:val="28"/>
          <w:szCs w:val="28"/>
        </w:rPr>
        <w:t>进行商务和技术评审。</w:t>
      </w:r>
    </w:p>
    <w:p>
      <w:pPr>
        <w:spacing w:line="560" w:lineRule="exact"/>
        <w:ind w:firstLine="560" w:firstLineChars="200"/>
        <w:rPr>
          <w:rFonts w:ascii="宋体" w:hAnsi="宋体"/>
          <w:bCs/>
          <w:sz w:val="28"/>
          <w:szCs w:val="28"/>
        </w:rPr>
      </w:pPr>
      <w:r>
        <w:rPr>
          <w:rFonts w:hint="eastAsia"/>
          <w:sz w:val="28"/>
          <w:szCs w:val="28"/>
        </w:rPr>
        <w:t>评审委员会应当按照谈判文件要求，依据最终报价文件（不含价格部分）对报价供应商填写的内容进行审核确认。其中，商务评委按照商务评审标准作商务评审，技术评委按照技术评审标准进行技术评审。评审委员会成员应当填写评审工作底稿，详细记录评分情况，以及形成过程、计算依据和报价供应商排序情况，并签字确认。</w:t>
      </w:r>
      <w:r>
        <w:rPr>
          <w:rFonts w:hint="eastAsia"/>
          <w:b/>
          <w:bCs/>
          <w:sz w:val="28"/>
          <w:szCs w:val="28"/>
        </w:rPr>
        <w:t>评审委员会成员不得集体商议、沟通、协调，商务、技术评审方面存有歧义的除外。</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30.1</w:t>
      </w:r>
      <w:r>
        <w:rPr>
          <w:rFonts w:hint="eastAsia" w:ascii="宋体" w:hAnsi="宋体"/>
          <w:bCs/>
          <w:sz w:val="28"/>
          <w:szCs w:val="28"/>
        </w:rPr>
        <w:t>采用综合评分法时：</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商务、技术评分项响应评审。评审委员会按</w:t>
      </w:r>
      <w:r>
        <w:rPr>
          <w:rFonts w:hint="eastAsia"/>
          <w:sz w:val="28"/>
          <w:szCs w:val="28"/>
        </w:rPr>
        <w:t>谈判</w:t>
      </w:r>
      <w:r>
        <w:rPr>
          <w:rFonts w:hint="eastAsia" w:asciiTheme="minorEastAsia" w:hAnsiTheme="minorEastAsia" w:eastAsiaTheme="minorEastAsia"/>
          <w:bCs/>
          <w:sz w:val="28"/>
          <w:szCs w:val="28"/>
        </w:rPr>
        <w:t>文件规定的评审标准，对商务、技术评分项计算得分。</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评审委员会成员对同一</w:t>
      </w:r>
      <w:r>
        <w:rPr>
          <w:rFonts w:hint="eastAsia"/>
          <w:sz w:val="28"/>
          <w:szCs w:val="28"/>
        </w:rPr>
        <w:t>报价</w:t>
      </w:r>
      <w:r>
        <w:rPr>
          <w:rFonts w:hint="eastAsia" w:asciiTheme="minorEastAsia" w:hAnsiTheme="minorEastAsia" w:eastAsiaTheme="minorEastAsia"/>
          <w:bCs/>
          <w:sz w:val="28"/>
          <w:szCs w:val="28"/>
        </w:rPr>
        <w:t>供应商的商务或技术的评分，偏离评审委员会全体成员的评分均值</w:t>
      </w:r>
      <w:r>
        <w:rPr>
          <w:rFonts w:asciiTheme="minorEastAsia" w:hAnsiTheme="minorEastAsia" w:eastAsiaTheme="minorEastAsia"/>
          <w:bCs/>
          <w:sz w:val="28"/>
          <w:szCs w:val="28"/>
        </w:rPr>
        <w:t>20%以上的，以其他评委的评分均值作为该成员的评分；评审委员会</w:t>
      </w:r>
      <w:r>
        <w:rPr>
          <w:rFonts w:hint="eastAsia" w:asciiTheme="minorEastAsia" w:hAnsiTheme="minorEastAsia" w:eastAsiaTheme="minorEastAsia"/>
          <w:bCs/>
          <w:sz w:val="28"/>
          <w:szCs w:val="28"/>
        </w:rPr>
        <w:t>所有</w:t>
      </w:r>
      <w:r>
        <w:rPr>
          <w:rFonts w:asciiTheme="minorEastAsia" w:hAnsiTheme="minorEastAsia" w:eastAsiaTheme="minorEastAsia"/>
          <w:bCs/>
          <w:sz w:val="28"/>
          <w:szCs w:val="28"/>
        </w:rPr>
        <w:t>成员的评分</w:t>
      </w:r>
      <w:r>
        <w:rPr>
          <w:rFonts w:hint="eastAsia" w:asciiTheme="minorEastAsia" w:hAnsiTheme="minorEastAsia" w:eastAsiaTheme="minorEastAsia"/>
          <w:bCs/>
          <w:sz w:val="28"/>
          <w:szCs w:val="28"/>
        </w:rPr>
        <w:t>均</w:t>
      </w:r>
      <w:r>
        <w:rPr>
          <w:rFonts w:asciiTheme="minorEastAsia" w:hAnsiTheme="minorEastAsia" w:eastAsiaTheme="minorEastAsia"/>
          <w:bCs/>
          <w:sz w:val="28"/>
          <w:szCs w:val="28"/>
        </w:rPr>
        <w:t>偏离20%以上的，以全体成员的评分均值</w:t>
      </w:r>
      <w:r>
        <w:rPr>
          <w:rFonts w:hint="eastAsia" w:asciiTheme="minorEastAsia" w:hAnsiTheme="minorEastAsia" w:eastAsiaTheme="minorEastAsia"/>
          <w:bCs/>
          <w:sz w:val="28"/>
          <w:szCs w:val="28"/>
        </w:rPr>
        <w:t>计算</w:t>
      </w:r>
      <w:r>
        <w:rPr>
          <w:rFonts w:asciiTheme="minorEastAsia" w:hAnsiTheme="minorEastAsia" w:eastAsiaTheme="minorEastAsia"/>
          <w:bCs/>
          <w:sz w:val="28"/>
          <w:szCs w:val="28"/>
        </w:rPr>
        <w:t>。</w:t>
      </w:r>
    </w:p>
    <w:p>
      <w:pPr>
        <w:adjustRightInd w:val="0"/>
        <w:snapToGrid w:val="0"/>
        <w:spacing w:line="560" w:lineRule="exact"/>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30</w:t>
      </w:r>
      <w:r>
        <w:rPr>
          <w:rFonts w:hint="eastAsia" w:asciiTheme="minorEastAsia" w:hAnsiTheme="minorEastAsia" w:eastAsiaTheme="minorEastAsia"/>
          <w:bCs/>
          <w:sz w:val="28"/>
          <w:szCs w:val="28"/>
        </w:rPr>
        <w:t>.2采用经评审的最低价法评审时：</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评审委员会按谈判文件规定的评审标准，对商务、技术指标是否实质性响应进行判定；必要时，对技术指标优劣进行排序。</w:t>
      </w:r>
    </w:p>
    <w:p>
      <w:pPr>
        <w:adjustRightInd w:val="0"/>
        <w:snapToGrid w:val="0"/>
        <w:spacing w:line="560" w:lineRule="exact"/>
        <w:ind w:firstLine="560" w:firstLineChars="200"/>
        <w:rPr>
          <w:rFonts w:ascii="宋体" w:hAnsi="宋体" w:cs="宋体"/>
          <w:bCs/>
          <w:snapToGrid w:val="0"/>
          <w:sz w:val="28"/>
          <w:szCs w:val="28"/>
          <w:lang w:val="zh-CN"/>
        </w:rPr>
      </w:pPr>
      <w:r>
        <w:rPr>
          <w:rFonts w:hint="eastAsia" w:ascii="宋体" w:hAnsi="宋体"/>
          <w:bCs/>
          <w:sz w:val="28"/>
          <w:szCs w:val="28"/>
          <w:lang w:eastAsia="zh-CN"/>
        </w:rPr>
        <w:t xml:space="preserve"> </w:t>
      </w:r>
      <w:r>
        <w:rPr>
          <w:rFonts w:ascii="宋体" w:hAnsi="宋体" w:cs="宋体"/>
          <w:bCs/>
          <w:snapToGrid w:val="0"/>
          <w:sz w:val="28"/>
          <w:szCs w:val="28"/>
          <w:lang w:val="zh-CN"/>
        </w:rPr>
        <w:t>30.</w:t>
      </w:r>
      <w:r>
        <w:rPr>
          <w:rFonts w:ascii="宋体" w:hAnsi="宋体" w:cs="宋体"/>
          <w:bCs/>
          <w:snapToGrid w:val="0"/>
          <w:sz w:val="28"/>
          <w:szCs w:val="28"/>
        </w:rPr>
        <w:t>3</w:t>
      </w:r>
      <w:r>
        <w:rPr>
          <w:rFonts w:ascii="宋体" w:hAnsi="宋体" w:cs="宋体"/>
          <w:bCs/>
          <w:snapToGrid w:val="0"/>
          <w:sz w:val="28"/>
          <w:szCs w:val="28"/>
          <w:lang w:val="zh-CN"/>
        </w:rPr>
        <w:t>样品评审。</w:t>
      </w:r>
      <w:r>
        <w:rPr>
          <w:rFonts w:hint="eastAsia" w:asciiTheme="minorEastAsia" w:hAnsiTheme="minorEastAsia" w:eastAsiaTheme="minorEastAsia"/>
          <w:bCs/>
          <w:sz w:val="28"/>
          <w:szCs w:val="28"/>
        </w:rPr>
        <w:t>除【报价供应商须知前附表】另有规定外，</w:t>
      </w:r>
      <w:r>
        <w:rPr>
          <w:rFonts w:hint="eastAsia" w:ascii="宋体" w:hAnsi="宋体" w:cs="宋体"/>
          <w:bCs/>
          <w:snapToGrid w:val="0"/>
          <w:sz w:val="28"/>
          <w:szCs w:val="28"/>
          <w:lang w:val="zh-CN"/>
        </w:rPr>
        <w:t>样品评审采用盲评。</w:t>
      </w:r>
      <w:r>
        <w:rPr>
          <w:rFonts w:hint="eastAsia"/>
          <w:sz w:val="28"/>
          <w:szCs w:val="28"/>
        </w:rPr>
        <w:t>报价</w:t>
      </w:r>
      <w:r>
        <w:rPr>
          <w:rFonts w:hint="eastAsia" w:ascii="宋体" w:hAnsi="宋体" w:cs="宋体"/>
          <w:bCs/>
          <w:snapToGrid w:val="0"/>
          <w:sz w:val="28"/>
          <w:szCs w:val="28"/>
          <w:lang w:val="zh-CN"/>
        </w:rPr>
        <w:t>供应商应当对提供样品的明显标识、铭牌和标签等进行遮挡，采购机构在样品评审前统一编号，评审委员会依据样品评审标准进行盲评。</w:t>
      </w:r>
    </w:p>
    <w:p>
      <w:pPr>
        <w:adjustRightInd w:val="0"/>
        <w:snapToGrid w:val="0"/>
        <w:spacing w:line="560" w:lineRule="exact"/>
        <w:ind w:firstLine="560" w:firstLineChars="200"/>
        <w:rPr>
          <w:rFonts w:ascii="宋体" w:hAnsi="宋体" w:cs="宋体"/>
          <w:bCs/>
          <w:snapToGrid w:val="0"/>
          <w:sz w:val="28"/>
          <w:szCs w:val="28"/>
          <w:lang w:val="zh-CN"/>
        </w:rPr>
      </w:pPr>
      <w:r>
        <w:rPr>
          <w:rFonts w:ascii="宋体" w:hAnsi="宋体" w:cs="宋体"/>
          <w:bCs/>
          <w:snapToGrid w:val="0"/>
          <w:sz w:val="28"/>
          <w:szCs w:val="28"/>
          <w:lang w:val="zh-CN"/>
        </w:rPr>
        <w:t>30.</w:t>
      </w:r>
      <w:r>
        <w:rPr>
          <w:rFonts w:ascii="宋体" w:hAnsi="宋体" w:cs="宋体"/>
          <w:bCs/>
          <w:snapToGrid w:val="0"/>
          <w:sz w:val="28"/>
          <w:szCs w:val="28"/>
        </w:rPr>
        <w:t>4</w:t>
      </w:r>
      <w:r>
        <w:rPr>
          <w:rFonts w:ascii="宋体" w:hAnsi="宋体" w:cs="宋体"/>
          <w:bCs/>
          <w:snapToGrid w:val="0"/>
          <w:sz w:val="28"/>
          <w:szCs w:val="28"/>
          <w:lang w:val="zh-CN"/>
        </w:rPr>
        <w:t>相同品牌或核心产品评审。</w:t>
      </w:r>
    </w:p>
    <w:p>
      <w:pPr>
        <w:adjustRightInd w:val="0"/>
        <w:snapToGrid w:val="0"/>
        <w:spacing w:line="560" w:lineRule="exact"/>
        <w:ind w:firstLine="560" w:firstLineChars="200"/>
        <w:rPr>
          <w:rFonts w:ascii="仿宋_GB2312" w:hAnsi="仿宋"/>
          <w:bCs/>
          <w:sz w:val="28"/>
          <w:szCs w:val="36"/>
        </w:rPr>
      </w:pPr>
      <w:r>
        <w:rPr>
          <w:rFonts w:hint="eastAsia" w:ascii="宋体" w:hAnsi="宋体"/>
          <w:bCs/>
          <w:sz w:val="28"/>
          <w:szCs w:val="36"/>
        </w:rPr>
        <w:t>（</w:t>
      </w:r>
      <w:r>
        <w:rPr>
          <w:rFonts w:ascii="宋体" w:hAnsi="宋体"/>
          <w:bCs/>
          <w:sz w:val="28"/>
          <w:szCs w:val="36"/>
        </w:rPr>
        <w:t>1）单个品种物资采购项目</w:t>
      </w:r>
      <w:r>
        <w:rPr>
          <w:rFonts w:hint="eastAsia" w:ascii="宋体" w:hAnsi="宋体"/>
          <w:bCs/>
          <w:sz w:val="28"/>
          <w:szCs w:val="36"/>
        </w:rPr>
        <w:t>，</w:t>
      </w:r>
      <w:r>
        <w:rPr>
          <w:rFonts w:ascii="宋体" w:hAnsi="宋体"/>
          <w:bCs/>
          <w:sz w:val="28"/>
          <w:szCs w:val="36"/>
        </w:rPr>
        <w:t>不同</w:t>
      </w:r>
      <w:r>
        <w:rPr>
          <w:rFonts w:hint="eastAsia"/>
          <w:sz w:val="28"/>
          <w:szCs w:val="28"/>
        </w:rPr>
        <w:t>报价</w:t>
      </w:r>
      <w:r>
        <w:rPr>
          <w:rFonts w:hint="eastAsia" w:ascii="仿宋_GB2312" w:hAnsi="仿宋"/>
          <w:bCs/>
          <w:sz w:val="28"/>
          <w:szCs w:val="36"/>
        </w:rPr>
        <w:t>供应商</w:t>
      </w:r>
      <w:r>
        <w:rPr>
          <w:rFonts w:ascii="宋体" w:hAnsi="宋体"/>
          <w:bCs/>
          <w:sz w:val="28"/>
          <w:szCs w:val="36"/>
        </w:rPr>
        <w:t>提供相同品牌产品的</w:t>
      </w:r>
      <w:r>
        <w:rPr>
          <w:rFonts w:hint="eastAsia" w:ascii="宋体" w:hAnsi="宋体"/>
          <w:bCs/>
          <w:sz w:val="28"/>
          <w:szCs w:val="36"/>
        </w:rPr>
        <w:t>，</w:t>
      </w:r>
      <w:r>
        <w:rPr>
          <w:rFonts w:hint="eastAsia"/>
          <w:sz w:val="28"/>
          <w:szCs w:val="28"/>
        </w:rPr>
        <w:t>报价</w:t>
      </w:r>
      <w:r>
        <w:rPr>
          <w:rFonts w:hint="eastAsia" w:ascii="宋体" w:hAnsi="宋体"/>
          <w:bCs/>
          <w:sz w:val="28"/>
          <w:szCs w:val="36"/>
        </w:rPr>
        <w:t>供应商数量按1家</w:t>
      </w:r>
      <w:r>
        <w:rPr>
          <w:rFonts w:hint="eastAsia"/>
          <w:sz w:val="28"/>
          <w:szCs w:val="28"/>
        </w:rPr>
        <w:t>报价</w:t>
      </w:r>
      <w:r>
        <w:rPr>
          <w:rFonts w:hint="eastAsia" w:ascii="仿宋_GB2312" w:hAnsi="仿宋"/>
          <w:bCs/>
          <w:sz w:val="28"/>
          <w:szCs w:val="36"/>
        </w:rPr>
        <w:t>供应商</w:t>
      </w:r>
      <w:r>
        <w:rPr>
          <w:rFonts w:hint="eastAsia" w:ascii="宋体" w:hAnsi="宋体"/>
          <w:bCs/>
          <w:sz w:val="28"/>
          <w:szCs w:val="36"/>
        </w:rPr>
        <w:t>计算。提供不同品牌产品的</w:t>
      </w:r>
      <w:r>
        <w:rPr>
          <w:rFonts w:hint="eastAsia"/>
          <w:sz w:val="28"/>
          <w:szCs w:val="28"/>
        </w:rPr>
        <w:t>报价</w:t>
      </w:r>
      <w:r>
        <w:rPr>
          <w:rFonts w:hint="eastAsia" w:ascii="仿宋_GB2312" w:hAnsi="仿宋"/>
          <w:bCs/>
          <w:sz w:val="28"/>
          <w:szCs w:val="36"/>
        </w:rPr>
        <w:t>供应商达到3家及以上的继续组织评审。其中，采用综合评分法的，应当分别对同品牌的所有报价供应商进行评分，由得分最高的报价供应商参加后续评审；采用经评审的最低价法的，由同品牌的所有报价供应商中报价最低的参加后续评审。同品牌报价供应商得分或报价相同的，由评审委员会按照</w:t>
      </w:r>
      <w:r>
        <w:rPr>
          <w:rFonts w:hint="eastAsia" w:asciiTheme="minorEastAsia" w:hAnsiTheme="minorEastAsia" w:eastAsiaTheme="minorEastAsia"/>
          <w:bCs/>
          <w:sz w:val="28"/>
          <w:szCs w:val="28"/>
        </w:rPr>
        <w:t>【报价供应商须知前附表】明确的方式</w:t>
      </w:r>
      <w:r>
        <w:rPr>
          <w:rFonts w:hint="eastAsia" w:ascii="仿宋_GB2312" w:hAnsi="仿宋"/>
          <w:bCs/>
          <w:sz w:val="28"/>
          <w:szCs w:val="36"/>
        </w:rPr>
        <w:t>确定1家报价供应商参加后续评审。只有</w:t>
      </w:r>
      <w:r>
        <w:rPr>
          <w:rFonts w:ascii="仿宋_GB2312" w:hAnsi="仿宋"/>
          <w:bCs/>
          <w:sz w:val="28"/>
          <w:szCs w:val="36"/>
        </w:rPr>
        <w:t>2</w:t>
      </w:r>
      <w:r>
        <w:rPr>
          <w:rFonts w:hint="eastAsia" w:ascii="仿宋_GB2312" w:hAnsi="仿宋"/>
          <w:bCs/>
          <w:sz w:val="28"/>
          <w:szCs w:val="36"/>
        </w:rPr>
        <w:t>家品牌产品的，按照第</w:t>
      </w:r>
      <w:r>
        <w:rPr>
          <w:rFonts w:ascii="仿宋_GB2312" w:hAnsi="仿宋"/>
          <w:bCs/>
          <w:sz w:val="28"/>
          <w:szCs w:val="36"/>
        </w:rPr>
        <w:t>41.1</w:t>
      </w:r>
      <w:r>
        <w:rPr>
          <w:rFonts w:hint="eastAsia" w:ascii="仿宋_GB2312" w:hAnsi="仿宋"/>
          <w:bCs/>
          <w:sz w:val="28"/>
          <w:szCs w:val="36"/>
        </w:rPr>
        <w:t>条明确的方法执行。</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36"/>
        </w:rPr>
        <w:t>（</w:t>
      </w:r>
      <w:r>
        <w:rPr>
          <w:rFonts w:ascii="宋体" w:hAnsi="宋体"/>
          <w:bCs/>
          <w:sz w:val="28"/>
          <w:szCs w:val="36"/>
        </w:rPr>
        <w:t>2）多个品种物资采购项目</w:t>
      </w:r>
      <w:r>
        <w:rPr>
          <w:rFonts w:hint="eastAsia" w:ascii="宋体" w:hAnsi="宋体"/>
          <w:bCs/>
          <w:sz w:val="28"/>
          <w:szCs w:val="36"/>
        </w:rPr>
        <w:t>，</w:t>
      </w:r>
      <w:r>
        <w:rPr>
          <w:rFonts w:hint="eastAsia" w:ascii="宋体" w:hAnsi="宋体"/>
          <w:bCs/>
          <w:sz w:val="28"/>
          <w:szCs w:val="28"/>
        </w:rPr>
        <w:t>核心产品见</w:t>
      </w:r>
      <w:r>
        <w:rPr>
          <w:rFonts w:hint="eastAsia" w:asciiTheme="minorEastAsia" w:hAnsiTheme="minorEastAsia" w:eastAsiaTheme="minorEastAsia"/>
          <w:bCs/>
          <w:sz w:val="28"/>
          <w:szCs w:val="28"/>
        </w:rPr>
        <w:t>【报价供应商须知前附表】</w:t>
      </w:r>
      <w:r>
        <w:rPr>
          <w:rFonts w:hint="eastAsia" w:ascii="宋体" w:hAnsi="宋体"/>
          <w:bCs/>
          <w:sz w:val="28"/>
          <w:szCs w:val="28"/>
        </w:rPr>
        <w:t>。</w:t>
      </w:r>
      <w:r>
        <w:rPr>
          <w:rFonts w:hint="eastAsia" w:ascii="宋体" w:hAnsi="宋体"/>
          <w:bCs/>
          <w:sz w:val="28"/>
          <w:szCs w:val="36"/>
        </w:rPr>
        <w:t>多家报价供应商提供的核心产品品牌相同的，以及</w:t>
      </w:r>
      <w:r>
        <w:rPr>
          <w:rFonts w:hint="eastAsia"/>
          <w:sz w:val="28"/>
          <w:szCs w:val="28"/>
        </w:rPr>
        <w:t>谈判</w:t>
      </w:r>
      <w:r>
        <w:rPr>
          <w:rFonts w:hint="eastAsia" w:ascii="宋体" w:hAnsi="宋体"/>
          <w:bCs/>
          <w:sz w:val="28"/>
          <w:szCs w:val="36"/>
        </w:rPr>
        <w:t>文件未明确核心产品、不同报价供应商提供的相同品牌产品金额均超过各自报价</w:t>
      </w:r>
      <w:r>
        <w:rPr>
          <w:rFonts w:ascii="宋体" w:hAnsi="宋体"/>
          <w:bCs/>
          <w:sz w:val="28"/>
          <w:szCs w:val="36"/>
        </w:rPr>
        <w:t>50%的，按照</w:t>
      </w:r>
      <w:r>
        <w:rPr>
          <w:rFonts w:hint="eastAsia" w:ascii="宋体" w:hAnsi="宋体"/>
          <w:bCs/>
          <w:sz w:val="28"/>
          <w:szCs w:val="36"/>
        </w:rPr>
        <w:t>1</w:t>
      </w:r>
      <w:r>
        <w:rPr>
          <w:rFonts w:ascii="宋体" w:hAnsi="宋体"/>
          <w:bCs/>
          <w:sz w:val="28"/>
          <w:szCs w:val="36"/>
        </w:rPr>
        <w:t>家报价供应商计算，依据前</w:t>
      </w:r>
      <w:r>
        <w:rPr>
          <w:rFonts w:hint="eastAsia" w:ascii="宋体" w:hAnsi="宋体"/>
          <w:bCs/>
          <w:sz w:val="28"/>
          <w:szCs w:val="36"/>
        </w:rPr>
        <w:t>条</w:t>
      </w:r>
      <w:r>
        <w:rPr>
          <w:rFonts w:ascii="宋体" w:hAnsi="宋体"/>
          <w:bCs/>
          <w:sz w:val="28"/>
          <w:szCs w:val="36"/>
        </w:rPr>
        <w:t>执行。</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30.5</w:t>
      </w:r>
      <w:r>
        <w:rPr>
          <w:rFonts w:hint="eastAsia" w:ascii="宋体" w:hAnsi="宋体"/>
          <w:bCs/>
          <w:sz w:val="28"/>
          <w:szCs w:val="28"/>
        </w:rPr>
        <w:t>评审委员会成员对客观分值的评分应当一致；财务状况、技术偏离、业绩等，应当以报价供应商提供的财务报表、检测报告、资质文件、合同原件或复印件，以及有关证明材料为依据。对其他需要借助专业知识评判的主观分值，应当严格按照评分细则独立评审。</w:t>
      </w:r>
    </w:p>
    <w:p>
      <w:pPr>
        <w:pStyle w:val="6"/>
        <w:keepNext w:val="0"/>
        <w:keepLines w:val="0"/>
        <w:adjustRightInd w:val="0"/>
        <w:snapToGrid w:val="0"/>
        <w:spacing w:before="0" w:after="0" w:line="560" w:lineRule="exact"/>
        <w:ind w:firstLine="560" w:firstLineChars="200"/>
        <w:rPr>
          <w:rFonts w:ascii="黑体" w:hAnsi="黑体"/>
          <w:b w:val="0"/>
        </w:rPr>
      </w:pPr>
      <w:r>
        <w:rPr>
          <w:rFonts w:ascii="黑体" w:hAnsi="黑体"/>
          <w:b w:val="0"/>
        </w:rPr>
        <w:t>31.</w:t>
      </w:r>
      <w:r>
        <w:rPr>
          <w:rFonts w:hint="eastAsia" w:ascii="黑体" w:hAnsi="黑体"/>
          <w:b w:val="0"/>
        </w:rPr>
        <w:t>价格评审</w:t>
      </w:r>
    </w:p>
    <w:p>
      <w:pPr>
        <w:spacing w:line="560" w:lineRule="exact"/>
        <w:ind w:firstLine="560" w:firstLineChars="200"/>
        <w:rPr>
          <w:rFonts w:asciiTheme="minorEastAsia" w:hAnsiTheme="minorEastAsia" w:eastAsiaTheme="minorEastAsia"/>
          <w:bCs/>
          <w:sz w:val="28"/>
          <w:szCs w:val="28"/>
        </w:rPr>
      </w:pPr>
      <w:r>
        <w:rPr>
          <w:rFonts w:hint="eastAsia" w:ascii="宋体" w:hAnsi="宋体"/>
          <w:bCs/>
          <w:snapToGrid w:val="0"/>
          <w:sz w:val="28"/>
          <w:szCs w:val="28"/>
          <w:lang w:val="zh-CN"/>
        </w:rPr>
        <w:t>商务、技术评审结束后，工作人员再将最终报价文件的价格部分提交</w:t>
      </w:r>
      <w:r>
        <w:rPr>
          <w:rFonts w:hint="eastAsia" w:ascii="宋体" w:hAnsi="宋体"/>
          <w:bCs/>
          <w:sz w:val="28"/>
          <w:szCs w:val="28"/>
        </w:rPr>
        <w:t>评审委员会。</w:t>
      </w:r>
      <w:r>
        <w:rPr>
          <w:rFonts w:hint="eastAsia" w:asciiTheme="minorEastAsia" w:hAnsiTheme="minorEastAsia" w:eastAsiaTheme="minorEastAsia"/>
          <w:bCs/>
          <w:sz w:val="28"/>
          <w:szCs w:val="28"/>
        </w:rPr>
        <w:t>评审委员会组织价格评审，核对报价内容是否准确、合理。</w:t>
      </w:r>
    </w:p>
    <w:p>
      <w:pPr>
        <w:adjustRightInd w:val="0"/>
        <w:snapToGrid w:val="0"/>
        <w:spacing w:line="560" w:lineRule="exact"/>
        <w:ind w:firstLine="560" w:firstLineChars="200"/>
        <w:jc w:val="left"/>
        <w:rPr>
          <w:rFonts w:asciiTheme="minorEastAsia" w:hAnsiTheme="minorEastAsia" w:eastAsiaTheme="minorEastAsia"/>
          <w:bCs/>
          <w:sz w:val="28"/>
          <w:szCs w:val="28"/>
        </w:rPr>
      </w:pPr>
      <w:r>
        <w:rPr>
          <w:rFonts w:asciiTheme="minorEastAsia" w:hAnsiTheme="minorEastAsia" w:eastAsiaTheme="minorEastAsia"/>
          <w:bCs/>
          <w:sz w:val="28"/>
          <w:szCs w:val="28"/>
        </w:rPr>
        <w:t>31.1</w:t>
      </w:r>
      <w:r>
        <w:rPr>
          <w:rFonts w:hint="eastAsia" w:asciiTheme="minorEastAsia" w:hAnsiTheme="minorEastAsia" w:eastAsiaTheme="minorEastAsia"/>
          <w:bCs/>
          <w:sz w:val="28"/>
          <w:szCs w:val="28"/>
        </w:rPr>
        <w:t>综合评分法的价格分</w:t>
      </w:r>
      <w:r>
        <w:rPr>
          <w:rFonts w:hint="eastAsia" w:ascii="宋体" w:hAnsi="宋体"/>
          <w:bCs/>
          <w:sz w:val="28"/>
          <w:szCs w:val="28"/>
        </w:rPr>
        <w:t>，</w:t>
      </w:r>
      <w:r>
        <w:rPr>
          <w:rFonts w:hint="eastAsia" w:asciiTheme="minorEastAsia" w:hAnsiTheme="minorEastAsia" w:eastAsiaTheme="minorEastAsia"/>
          <w:bCs/>
          <w:sz w:val="28"/>
          <w:szCs w:val="28"/>
        </w:rPr>
        <w:t>采用低价优先法计算，即满足</w:t>
      </w:r>
      <w:r>
        <w:rPr>
          <w:rFonts w:hint="eastAsia"/>
          <w:sz w:val="28"/>
          <w:szCs w:val="28"/>
        </w:rPr>
        <w:t>谈判</w:t>
      </w:r>
      <w:r>
        <w:rPr>
          <w:rFonts w:hint="eastAsia" w:asciiTheme="minorEastAsia" w:hAnsiTheme="minorEastAsia" w:eastAsiaTheme="minorEastAsia"/>
          <w:bCs/>
          <w:sz w:val="28"/>
          <w:szCs w:val="28"/>
        </w:rPr>
        <w:t>文件实质性要求的报价供应商最低报价为评审基准价，其价格分为满分（标准分值）。其他报价供应商的价格分按照下列公式计算：</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价格得分</w:t>
      </w:r>
      <w:r>
        <w:rPr>
          <w:rFonts w:asciiTheme="minorEastAsia" w:hAnsiTheme="minorEastAsia" w:eastAsiaTheme="minorEastAsia"/>
          <w:bCs/>
          <w:sz w:val="28"/>
          <w:szCs w:val="28"/>
        </w:rPr>
        <w:t>=（评审基准价/报价）×标准分值</w:t>
      </w:r>
    </w:p>
    <w:p>
      <w:pPr>
        <w:adjustRightInd w:val="0"/>
        <w:snapToGrid w:val="0"/>
        <w:spacing w:line="560" w:lineRule="exact"/>
        <w:ind w:firstLine="560" w:firstLineChars="200"/>
      </w:pPr>
      <w:r>
        <w:rPr>
          <w:rFonts w:ascii="宋体" w:hAnsi="宋体"/>
          <w:bCs/>
          <w:sz w:val="28"/>
          <w:szCs w:val="28"/>
        </w:rPr>
        <w:t>31.2经评审的最低价法</w:t>
      </w:r>
      <w:r>
        <w:rPr>
          <w:rFonts w:hint="eastAsia" w:ascii="宋体" w:hAnsi="宋体"/>
          <w:bCs/>
          <w:sz w:val="28"/>
          <w:szCs w:val="28"/>
        </w:rPr>
        <w:t>的价格评审，</w:t>
      </w:r>
      <w:r>
        <w:rPr>
          <w:rFonts w:ascii="宋体" w:hAnsi="宋体"/>
          <w:bCs/>
          <w:sz w:val="28"/>
          <w:szCs w:val="28"/>
        </w:rPr>
        <w:t>按照</w:t>
      </w:r>
      <w:r>
        <w:rPr>
          <w:rFonts w:hint="eastAsia" w:ascii="宋体" w:hAnsi="宋体"/>
          <w:bCs/>
          <w:sz w:val="28"/>
          <w:szCs w:val="28"/>
        </w:rPr>
        <w:t>最终</w:t>
      </w:r>
      <w:r>
        <w:rPr>
          <w:rFonts w:ascii="宋体" w:hAnsi="宋体"/>
          <w:bCs/>
          <w:sz w:val="28"/>
          <w:szCs w:val="28"/>
        </w:rPr>
        <w:t>报价由低到高顺序排</w:t>
      </w:r>
      <w:r>
        <w:rPr>
          <w:rFonts w:hint="eastAsia" w:ascii="宋体" w:hAnsi="宋体"/>
          <w:bCs/>
          <w:sz w:val="28"/>
          <w:szCs w:val="28"/>
        </w:rPr>
        <w:t>列。</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31.3</w:t>
      </w:r>
      <w:r>
        <w:rPr>
          <w:rFonts w:hint="eastAsia" w:ascii="宋体" w:hAnsi="宋体"/>
          <w:bCs/>
          <w:sz w:val="28"/>
          <w:szCs w:val="28"/>
        </w:rPr>
        <w:t>评审委员会认为报价供应商报价低于其他所有</w:t>
      </w:r>
      <w:r>
        <w:rPr>
          <w:rFonts w:ascii="宋体" w:hAnsi="宋体"/>
          <w:bCs/>
          <w:sz w:val="28"/>
          <w:szCs w:val="28"/>
        </w:rPr>
        <w:t>通过资格性</w:t>
      </w:r>
      <w:r>
        <w:rPr>
          <w:rFonts w:hint="eastAsia" w:ascii="宋体" w:hAnsi="宋体"/>
          <w:bCs/>
          <w:sz w:val="28"/>
          <w:szCs w:val="28"/>
        </w:rPr>
        <w:t>、</w:t>
      </w:r>
      <w:r>
        <w:rPr>
          <w:rFonts w:ascii="宋体" w:hAnsi="宋体"/>
          <w:bCs/>
          <w:sz w:val="28"/>
          <w:szCs w:val="28"/>
        </w:rPr>
        <w:t>符合性审查的</w:t>
      </w:r>
      <w:r>
        <w:rPr>
          <w:rFonts w:hint="eastAsia" w:ascii="宋体" w:hAnsi="宋体"/>
          <w:bCs/>
          <w:sz w:val="28"/>
          <w:szCs w:val="28"/>
        </w:rPr>
        <w:t>报价供应商平均报价</w:t>
      </w:r>
      <w:r>
        <w:rPr>
          <w:rFonts w:ascii="宋体" w:hAnsi="宋体"/>
          <w:bCs/>
          <w:sz w:val="28"/>
          <w:szCs w:val="28"/>
        </w:rPr>
        <w:t>40%</w:t>
      </w:r>
      <w:r>
        <w:rPr>
          <w:rFonts w:hint="eastAsia" w:ascii="宋体" w:hAnsi="宋体"/>
          <w:bCs/>
          <w:sz w:val="28"/>
          <w:szCs w:val="28"/>
        </w:rPr>
        <w:t>，有可能影响产品质量或不能诚信履约的，评审委员会应当要求报价供应商在规定时间内提供报价合理性的书面说明和履约担保承诺，必要时提交相关证明材料。报价供应商未按照要求提供或评审委员会认为其不能证明其报价合理性，按照无效报价处理。</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31.4报价供应商</w:t>
      </w:r>
      <w:r>
        <w:rPr>
          <w:rFonts w:hint="eastAsia" w:ascii="宋体" w:hAnsi="宋体"/>
          <w:bCs/>
          <w:sz w:val="28"/>
          <w:szCs w:val="28"/>
        </w:rPr>
        <w:t>最终</w:t>
      </w:r>
      <w:r>
        <w:rPr>
          <w:rFonts w:ascii="宋体" w:hAnsi="宋体"/>
          <w:bCs/>
          <w:sz w:val="28"/>
          <w:szCs w:val="28"/>
        </w:rPr>
        <w:t>报价超过预算的，按照下列方式处理：</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1）报价供应商</w:t>
      </w:r>
      <w:r>
        <w:rPr>
          <w:rFonts w:hint="eastAsia" w:ascii="宋体" w:hAnsi="宋体"/>
          <w:bCs/>
          <w:sz w:val="28"/>
          <w:szCs w:val="28"/>
        </w:rPr>
        <w:t>最终</w:t>
      </w:r>
      <w:r>
        <w:rPr>
          <w:rFonts w:ascii="宋体" w:hAnsi="宋体"/>
          <w:bCs/>
          <w:sz w:val="28"/>
          <w:szCs w:val="28"/>
        </w:rPr>
        <w:t>报价均超预算的，</w:t>
      </w:r>
      <w:r>
        <w:rPr>
          <w:rFonts w:hint="eastAsia" w:ascii="宋体" w:hAnsi="宋体"/>
          <w:bCs/>
          <w:sz w:val="28"/>
          <w:szCs w:val="28"/>
        </w:rPr>
        <w:t>评审委员会和采购机构应当结合市场调查情况、报价供应商报价材料等进行综合分析研判，认定报价供应商报价合理的，函询采购单位能否追加预算，采购单位函复确认追加的，继续评审；认定报价供应商报价不合理或采购单位无法追加的，终止评审。</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2）部分报价供应商</w:t>
      </w:r>
      <w:r>
        <w:rPr>
          <w:rFonts w:hint="eastAsia" w:ascii="宋体" w:hAnsi="宋体"/>
          <w:bCs/>
          <w:sz w:val="28"/>
          <w:szCs w:val="28"/>
        </w:rPr>
        <w:t>最终</w:t>
      </w:r>
      <w:r>
        <w:rPr>
          <w:rFonts w:ascii="宋体" w:hAnsi="宋体"/>
          <w:bCs/>
          <w:sz w:val="28"/>
          <w:szCs w:val="28"/>
        </w:rPr>
        <w:t>报价超预算的，应当继续评审。</w:t>
      </w:r>
      <w:r>
        <w:rPr>
          <w:rFonts w:hint="eastAsia" w:ascii="宋体" w:hAnsi="宋体"/>
          <w:bCs/>
          <w:sz w:val="28"/>
          <w:szCs w:val="28"/>
        </w:rPr>
        <w:t>评审后，预</w:t>
      </w:r>
      <w:r>
        <w:rPr>
          <w:rFonts w:ascii="宋体" w:hAnsi="宋体"/>
          <w:bCs/>
          <w:sz w:val="28"/>
          <w:szCs w:val="28"/>
        </w:rPr>
        <w:t>成交供应商</w:t>
      </w:r>
      <w:r>
        <w:rPr>
          <w:rFonts w:hint="eastAsia" w:ascii="宋体" w:hAnsi="宋体"/>
          <w:bCs/>
          <w:sz w:val="28"/>
          <w:szCs w:val="28"/>
        </w:rPr>
        <w:t>最终</w:t>
      </w:r>
      <w:r>
        <w:rPr>
          <w:rFonts w:ascii="宋体" w:hAnsi="宋体"/>
          <w:bCs/>
          <w:sz w:val="28"/>
          <w:szCs w:val="28"/>
        </w:rPr>
        <w:t>报价未超预算的，评审结果有效</w:t>
      </w:r>
      <w:r>
        <w:rPr>
          <w:rFonts w:hint="eastAsia" w:ascii="宋体" w:hAnsi="宋体"/>
          <w:bCs/>
          <w:sz w:val="28"/>
          <w:szCs w:val="28"/>
        </w:rPr>
        <w:t>。预</w:t>
      </w:r>
      <w:r>
        <w:rPr>
          <w:rFonts w:ascii="宋体" w:hAnsi="宋体"/>
          <w:bCs/>
          <w:sz w:val="28"/>
          <w:szCs w:val="28"/>
        </w:rPr>
        <w:t>成交供应商</w:t>
      </w:r>
      <w:r>
        <w:rPr>
          <w:rFonts w:hint="eastAsia" w:ascii="宋体" w:hAnsi="宋体"/>
          <w:bCs/>
          <w:sz w:val="28"/>
          <w:szCs w:val="28"/>
        </w:rPr>
        <w:t>最终报价</w:t>
      </w:r>
      <w:r>
        <w:rPr>
          <w:rFonts w:ascii="宋体" w:hAnsi="宋体"/>
          <w:bCs/>
          <w:sz w:val="28"/>
          <w:szCs w:val="28"/>
        </w:rPr>
        <w:t>超预算，</w:t>
      </w:r>
      <w:r>
        <w:rPr>
          <w:rFonts w:hint="eastAsia" w:ascii="宋体" w:hAnsi="宋体"/>
          <w:bCs/>
          <w:sz w:val="28"/>
          <w:szCs w:val="28"/>
        </w:rPr>
        <w:t>经</w:t>
      </w:r>
      <w:r>
        <w:rPr>
          <w:rFonts w:ascii="宋体" w:hAnsi="宋体"/>
          <w:bCs/>
          <w:sz w:val="28"/>
          <w:szCs w:val="28"/>
        </w:rPr>
        <w:t>采购</w:t>
      </w:r>
      <w:r>
        <w:rPr>
          <w:rFonts w:hint="eastAsia" w:ascii="宋体" w:hAnsi="宋体"/>
          <w:bCs/>
          <w:sz w:val="28"/>
          <w:szCs w:val="28"/>
        </w:rPr>
        <w:t>单位书面确认能够追加</w:t>
      </w:r>
      <w:r>
        <w:rPr>
          <w:rFonts w:ascii="宋体" w:hAnsi="宋体"/>
          <w:bCs/>
          <w:sz w:val="28"/>
          <w:szCs w:val="28"/>
        </w:rPr>
        <w:t>的</w:t>
      </w:r>
      <w:r>
        <w:rPr>
          <w:rFonts w:hint="eastAsia" w:ascii="宋体" w:hAnsi="宋体"/>
          <w:bCs/>
          <w:sz w:val="28"/>
          <w:szCs w:val="28"/>
        </w:rPr>
        <w:t>，评审结果有效；不能追加的，采购单位</w:t>
      </w:r>
      <w:r>
        <w:rPr>
          <w:rFonts w:ascii="宋体" w:hAnsi="宋体"/>
          <w:bCs/>
          <w:sz w:val="28"/>
          <w:szCs w:val="28"/>
        </w:rPr>
        <w:t>可以按照评审排名结果依次</w:t>
      </w:r>
      <w:r>
        <w:rPr>
          <w:rFonts w:hint="eastAsia" w:ascii="宋体" w:hAnsi="宋体"/>
          <w:bCs/>
          <w:sz w:val="28"/>
          <w:szCs w:val="28"/>
        </w:rPr>
        <w:t>递补</w:t>
      </w:r>
      <w:r>
        <w:rPr>
          <w:rFonts w:ascii="宋体" w:hAnsi="宋体"/>
          <w:bCs/>
          <w:sz w:val="28"/>
          <w:szCs w:val="28"/>
        </w:rPr>
        <w:t>确定成交供应商，</w:t>
      </w:r>
      <w:r>
        <w:rPr>
          <w:rFonts w:hint="eastAsia" w:ascii="宋体" w:hAnsi="宋体"/>
          <w:bCs/>
          <w:sz w:val="28"/>
          <w:szCs w:val="28"/>
        </w:rPr>
        <w:t>但剩余有效报价供应商数量应当达到需要递补报价供应商数量的</w:t>
      </w:r>
      <w:r>
        <w:rPr>
          <w:rFonts w:ascii="宋体" w:hAnsi="宋体"/>
          <w:bCs/>
          <w:sz w:val="28"/>
          <w:szCs w:val="28"/>
        </w:rPr>
        <w:t>2倍，否则由采购</w:t>
      </w:r>
      <w:r>
        <w:rPr>
          <w:rFonts w:hint="eastAsia" w:ascii="宋体" w:hAnsi="宋体"/>
          <w:bCs/>
          <w:sz w:val="28"/>
          <w:szCs w:val="28"/>
        </w:rPr>
        <w:t>机构</w:t>
      </w:r>
      <w:r>
        <w:rPr>
          <w:rFonts w:ascii="宋体" w:hAnsi="宋体"/>
          <w:bCs/>
          <w:sz w:val="28"/>
          <w:szCs w:val="28"/>
        </w:rPr>
        <w:t>重新</w:t>
      </w:r>
      <w:r>
        <w:rPr>
          <w:rFonts w:hint="eastAsia" w:ascii="宋体" w:hAnsi="宋体"/>
          <w:bCs/>
          <w:sz w:val="28"/>
          <w:szCs w:val="28"/>
        </w:rPr>
        <w:t>组织采购。</w:t>
      </w:r>
    </w:p>
    <w:p>
      <w:pPr>
        <w:adjustRightInd w:val="0"/>
        <w:snapToGrid w:val="0"/>
        <w:spacing w:line="560" w:lineRule="exact"/>
        <w:ind w:firstLine="560" w:firstLineChars="200"/>
      </w:pPr>
      <w:r>
        <w:rPr>
          <w:rFonts w:hint="eastAsia" w:ascii="宋体" w:hAnsi="宋体"/>
          <w:bCs/>
          <w:sz w:val="28"/>
          <w:szCs w:val="28"/>
        </w:rPr>
        <w:t>（</w:t>
      </w:r>
      <w:r>
        <w:rPr>
          <w:rFonts w:ascii="宋体" w:hAnsi="宋体"/>
          <w:bCs/>
          <w:sz w:val="28"/>
          <w:szCs w:val="28"/>
        </w:rPr>
        <w:t>3）同一采购项目中的部分产品单价或金额超预算，</w:t>
      </w:r>
      <w:r>
        <w:rPr>
          <w:rFonts w:hint="eastAsia" w:ascii="宋体" w:hAnsi="宋体"/>
          <w:bCs/>
          <w:sz w:val="28"/>
          <w:szCs w:val="28"/>
        </w:rPr>
        <w:t>但最终报价</w:t>
      </w:r>
      <w:r>
        <w:rPr>
          <w:rFonts w:ascii="宋体" w:hAnsi="宋体"/>
          <w:bCs/>
          <w:sz w:val="28"/>
          <w:szCs w:val="28"/>
        </w:rPr>
        <w:t>总金额未超预算的，视为</w:t>
      </w:r>
      <w:r>
        <w:rPr>
          <w:rFonts w:hint="eastAsia" w:ascii="宋体" w:hAnsi="宋体"/>
          <w:bCs/>
          <w:sz w:val="28"/>
          <w:szCs w:val="28"/>
        </w:rPr>
        <w:t>采购项目未超预算</w:t>
      </w:r>
      <w:r>
        <w:rPr>
          <w:rFonts w:ascii="宋体" w:hAnsi="宋体"/>
          <w:bCs/>
          <w:sz w:val="28"/>
          <w:szCs w:val="28"/>
        </w:rPr>
        <w:t>。</w:t>
      </w:r>
    </w:p>
    <w:p>
      <w:pPr>
        <w:pStyle w:val="6"/>
        <w:keepNext w:val="0"/>
        <w:keepLines w:val="0"/>
        <w:adjustRightInd w:val="0"/>
        <w:snapToGrid w:val="0"/>
        <w:spacing w:before="0" w:after="0" w:line="560" w:lineRule="exact"/>
        <w:ind w:firstLine="560" w:firstLineChars="200"/>
        <w:rPr>
          <w:rFonts w:ascii="黑体" w:hAnsi="黑体"/>
          <w:b w:val="0"/>
        </w:rPr>
      </w:pPr>
      <w:r>
        <w:rPr>
          <w:rFonts w:ascii="黑体" w:hAnsi="黑体"/>
          <w:b w:val="0"/>
        </w:rPr>
        <w:t>32.</w:t>
      </w:r>
      <w:r>
        <w:rPr>
          <w:rFonts w:hint="eastAsia" w:ascii="黑体" w:hAnsi="黑体"/>
          <w:b w:val="0"/>
        </w:rPr>
        <w:t>汇总得分</w:t>
      </w:r>
    </w:p>
    <w:p>
      <w:pPr>
        <w:pStyle w:val="16"/>
        <w:spacing w:after="0" w:line="560" w:lineRule="exact"/>
        <w:ind w:firstLine="560" w:firstLineChars="200"/>
      </w:pPr>
      <w:r>
        <w:rPr>
          <w:rFonts w:asciiTheme="minorEastAsia" w:hAnsiTheme="minorEastAsia" w:eastAsiaTheme="minorEastAsia"/>
          <w:bCs/>
          <w:sz w:val="28"/>
          <w:szCs w:val="28"/>
        </w:rPr>
        <w:t>32.1</w:t>
      </w:r>
      <w:r>
        <w:rPr>
          <w:rFonts w:hint="eastAsia" w:ascii="宋体" w:hAnsi="宋体"/>
          <w:bCs/>
          <w:sz w:val="28"/>
          <w:szCs w:val="28"/>
        </w:rPr>
        <w:t>报价供应商评审总得分为最终报价、商务、技术评分项得分之和。评分分值计算保留小数点后两位，小数点后第三位“四舍五入”。</w:t>
      </w:r>
    </w:p>
    <w:p>
      <w:pPr>
        <w:pStyle w:val="6"/>
        <w:keepNext w:val="0"/>
        <w:keepLines w:val="0"/>
        <w:adjustRightInd w:val="0"/>
        <w:snapToGrid w:val="0"/>
        <w:spacing w:before="0" w:after="0" w:line="560" w:lineRule="exact"/>
        <w:ind w:firstLine="560" w:firstLineChars="200"/>
        <w:rPr>
          <w:rFonts w:ascii="黑体" w:hAnsi="黑体"/>
          <w:b w:val="0"/>
        </w:rPr>
      </w:pPr>
      <w:r>
        <w:rPr>
          <w:rFonts w:ascii="黑体" w:hAnsi="黑体"/>
          <w:b w:val="0"/>
        </w:rPr>
        <w:t>33.复核评审</w:t>
      </w:r>
      <w:r>
        <w:rPr>
          <w:rFonts w:hint="eastAsia" w:ascii="黑体" w:hAnsi="黑体"/>
          <w:b w:val="0"/>
        </w:rPr>
        <w:t>结果</w:t>
      </w:r>
    </w:p>
    <w:p>
      <w:pPr>
        <w:adjustRightInd w:val="0"/>
        <w:snapToGrid w:val="0"/>
        <w:spacing w:line="560" w:lineRule="exact"/>
        <w:ind w:firstLine="560" w:firstLineChars="200"/>
        <w:rPr>
          <w:rFonts w:ascii="宋体" w:hAnsi="宋体"/>
          <w:bCs/>
          <w:sz w:val="28"/>
          <w:szCs w:val="28"/>
        </w:rPr>
      </w:pPr>
      <w:r>
        <w:rPr>
          <w:rFonts w:asciiTheme="minorEastAsia" w:hAnsiTheme="minorEastAsia" w:eastAsiaTheme="minorEastAsia"/>
          <w:bCs/>
          <w:sz w:val="28"/>
          <w:szCs w:val="28"/>
        </w:rPr>
        <w:t>33.1</w:t>
      </w:r>
      <w:r>
        <w:rPr>
          <w:rFonts w:hint="eastAsia" w:ascii="宋体" w:hAnsi="宋体"/>
          <w:bCs/>
          <w:sz w:val="28"/>
          <w:szCs w:val="28"/>
        </w:rPr>
        <w:t>评审委员会</w:t>
      </w:r>
      <w:r>
        <w:rPr>
          <w:rFonts w:ascii="宋体" w:hAnsi="宋体"/>
          <w:bCs/>
          <w:sz w:val="28"/>
          <w:szCs w:val="28"/>
        </w:rPr>
        <w:t>对评审</w:t>
      </w:r>
      <w:r>
        <w:rPr>
          <w:rFonts w:hint="eastAsia" w:ascii="宋体" w:hAnsi="宋体"/>
          <w:bCs/>
          <w:sz w:val="28"/>
          <w:szCs w:val="28"/>
        </w:rPr>
        <w:t>评分情况核对，重点</w:t>
      </w:r>
      <w:r>
        <w:rPr>
          <w:rFonts w:hint="eastAsia" w:ascii="仿宋_GB2312" w:hAnsi="仿宋"/>
          <w:bCs/>
          <w:sz w:val="28"/>
          <w:szCs w:val="36"/>
        </w:rPr>
        <w:t>核对客观分值评分错误、分值汇总计算错误、报价较高且预成交或报价较低且未成交等情形，并在评审报告中说明原因</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Theme="minorEastAsia" w:hAnsiTheme="minorEastAsia" w:eastAsiaTheme="minorEastAsia"/>
          <w:bCs/>
          <w:sz w:val="28"/>
          <w:szCs w:val="28"/>
        </w:rPr>
        <w:t>33.2</w:t>
      </w:r>
      <w:r>
        <w:rPr>
          <w:rFonts w:hint="eastAsia" w:ascii="宋体" w:hAnsi="宋体"/>
          <w:bCs/>
          <w:sz w:val="28"/>
          <w:szCs w:val="28"/>
        </w:rPr>
        <w:t>采购机构对评审委员会的评审结果进行复核，重点复核评审底稿记录信息是否完整、符合性审查是否有误、报价供应商填报信息与评审委员会成员判定是否一致、客观分值是否一致、分值汇总计算是否正确、评分有无畸高畸低等情形，如有问题应当要求评审委员会当场书面说明并予以更正，评审委员会对复核结果有异议的，以采购机构复核结果为准，并由采购机构出具书面意见详细说明出现异议的原因及处理方式，双方签字确认。评审委员会拒绝签字确认的，采购机构如实记录并存入采购档案。</w:t>
      </w:r>
    </w:p>
    <w:p>
      <w:pPr>
        <w:pStyle w:val="6"/>
        <w:keepNext w:val="0"/>
        <w:keepLines w:val="0"/>
        <w:adjustRightInd w:val="0"/>
        <w:snapToGrid w:val="0"/>
        <w:spacing w:before="0" w:after="0" w:line="560" w:lineRule="exact"/>
        <w:ind w:firstLine="560" w:firstLineChars="200"/>
        <w:rPr>
          <w:rFonts w:ascii="黑体" w:hAnsi="黑体"/>
          <w:b w:val="0"/>
        </w:rPr>
      </w:pPr>
      <w:bookmarkStart w:id="238" w:name="_Toc14049"/>
      <w:bookmarkStart w:id="239" w:name="_Toc11969"/>
      <w:bookmarkStart w:id="240" w:name="_Toc121216115"/>
      <w:bookmarkStart w:id="241" w:name="_Toc4538"/>
      <w:bookmarkStart w:id="242" w:name="_Toc20681"/>
      <w:r>
        <w:rPr>
          <w:rFonts w:ascii="黑体" w:hAnsi="黑体"/>
          <w:b w:val="0"/>
        </w:rPr>
        <w:t>34.</w:t>
      </w:r>
      <w:r>
        <w:rPr>
          <w:rFonts w:hint="eastAsia" w:ascii="黑体" w:hAnsi="黑体"/>
          <w:b w:val="0"/>
        </w:rPr>
        <w:t>推荐预成交供应商</w:t>
      </w:r>
      <w:bookmarkEnd w:id="238"/>
      <w:bookmarkEnd w:id="239"/>
      <w:bookmarkEnd w:id="240"/>
      <w:bookmarkEnd w:id="241"/>
      <w:bookmarkEnd w:id="242"/>
    </w:p>
    <w:p>
      <w:pPr>
        <w:adjustRightInd w:val="0"/>
        <w:snapToGrid w:val="0"/>
        <w:spacing w:line="560" w:lineRule="exact"/>
        <w:ind w:firstLine="560" w:firstLineChars="200"/>
        <w:rPr>
          <w:rFonts w:ascii="宋体" w:hAnsi="宋体"/>
          <w:bCs/>
          <w:sz w:val="28"/>
          <w:szCs w:val="28"/>
        </w:rPr>
      </w:pPr>
      <w:r>
        <w:rPr>
          <w:rFonts w:ascii="宋体" w:hAnsi="宋体"/>
          <w:bCs/>
          <w:sz w:val="28"/>
          <w:szCs w:val="28"/>
        </w:rPr>
        <w:t>评审委员会依据经过复核的评审结果，对报价供应商进行排序并推荐预成交供应商</w:t>
      </w:r>
      <w:r>
        <w:rPr>
          <w:rFonts w:hint="eastAsia"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34.1</w:t>
      </w:r>
      <w:r>
        <w:rPr>
          <w:rFonts w:hint="eastAsia" w:ascii="宋体" w:hAnsi="宋体"/>
          <w:bCs/>
          <w:sz w:val="28"/>
          <w:szCs w:val="28"/>
        </w:rPr>
        <w:t>采用综合评分法</w:t>
      </w:r>
      <w:r>
        <w:rPr>
          <w:rFonts w:ascii="宋体" w:hAnsi="宋体"/>
          <w:bCs/>
          <w:sz w:val="28"/>
          <w:szCs w:val="28"/>
        </w:rPr>
        <w:t>评审</w:t>
      </w:r>
      <w:r>
        <w:rPr>
          <w:rFonts w:hint="eastAsia" w:ascii="宋体" w:hAnsi="宋体"/>
          <w:bCs/>
          <w:sz w:val="28"/>
          <w:szCs w:val="28"/>
        </w:rPr>
        <w:t>时，评审委员会按照</w:t>
      </w:r>
      <w:r>
        <w:rPr>
          <w:rFonts w:ascii="宋体" w:hAnsi="宋体"/>
          <w:bCs/>
          <w:sz w:val="28"/>
          <w:szCs w:val="28"/>
        </w:rPr>
        <w:t>商务</w:t>
      </w:r>
      <w:r>
        <w:rPr>
          <w:rFonts w:hint="eastAsia" w:ascii="宋体" w:hAnsi="宋体"/>
          <w:bCs/>
          <w:sz w:val="28"/>
          <w:szCs w:val="28"/>
        </w:rPr>
        <w:t>、</w:t>
      </w:r>
      <w:r>
        <w:rPr>
          <w:rFonts w:ascii="宋体" w:hAnsi="宋体"/>
          <w:bCs/>
          <w:sz w:val="28"/>
          <w:szCs w:val="28"/>
        </w:rPr>
        <w:t>技术</w:t>
      </w:r>
      <w:r>
        <w:rPr>
          <w:rFonts w:hint="eastAsia" w:ascii="宋体" w:hAnsi="宋体"/>
          <w:bCs/>
          <w:sz w:val="28"/>
          <w:szCs w:val="28"/>
        </w:rPr>
        <w:t>和价格</w:t>
      </w:r>
      <w:r>
        <w:rPr>
          <w:rFonts w:ascii="宋体" w:hAnsi="宋体"/>
          <w:bCs/>
          <w:sz w:val="28"/>
          <w:szCs w:val="28"/>
        </w:rPr>
        <w:t>评审总得分由高到低顺序排列，</w:t>
      </w:r>
      <w:r>
        <w:rPr>
          <w:rFonts w:hint="eastAsia" w:ascii="宋体" w:hAnsi="宋体"/>
          <w:bCs/>
          <w:sz w:val="28"/>
          <w:szCs w:val="28"/>
        </w:rPr>
        <w:t>得分</w:t>
      </w:r>
      <w:r>
        <w:rPr>
          <w:rFonts w:ascii="宋体" w:hAnsi="宋体"/>
          <w:bCs/>
          <w:sz w:val="28"/>
          <w:szCs w:val="28"/>
        </w:rPr>
        <w:t>最高的报价供应商作为预成交供应商；</w:t>
      </w:r>
      <w:r>
        <w:rPr>
          <w:rFonts w:hint="eastAsia" w:ascii="宋体" w:hAnsi="宋体"/>
          <w:bCs/>
          <w:sz w:val="28"/>
          <w:szCs w:val="28"/>
        </w:rPr>
        <w:t>总得分相同的，按照技术评审得分由高到低进行排序；技术评审得分也相同的，按照报价由低到高进行排序。技术评审得分和报价均相同的，按照专用文件规定的方式确定预成交供应商。专用文件未明确的，采取随机抽取方式确定。</w:t>
      </w:r>
    </w:p>
    <w:p>
      <w:pPr>
        <w:adjustRightInd w:val="0"/>
        <w:snapToGrid w:val="0"/>
        <w:spacing w:line="560" w:lineRule="exact"/>
        <w:ind w:firstLine="560" w:firstLineChars="200"/>
      </w:pPr>
      <w:r>
        <w:rPr>
          <w:rFonts w:ascii="宋体" w:hAnsi="宋体"/>
          <w:bCs/>
          <w:sz w:val="28"/>
          <w:szCs w:val="28"/>
        </w:rPr>
        <w:t>采用经评审的最低价法时，评审委员会</w:t>
      </w:r>
      <w:r>
        <w:rPr>
          <w:rFonts w:hint="eastAsia" w:ascii="宋体" w:hAnsi="宋体"/>
          <w:bCs/>
          <w:sz w:val="28"/>
          <w:szCs w:val="28"/>
        </w:rPr>
        <w:t>将有效谈判</w:t>
      </w:r>
      <w:r>
        <w:rPr>
          <w:rFonts w:ascii="宋体" w:hAnsi="宋体"/>
          <w:bCs/>
          <w:sz w:val="28"/>
          <w:szCs w:val="28"/>
        </w:rPr>
        <w:t>报价由低到高顺序排列</w:t>
      </w:r>
      <w:r>
        <w:rPr>
          <w:rFonts w:hint="eastAsia" w:ascii="宋体" w:hAnsi="宋体"/>
          <w:bCs/>
          <w:sz w:val="28"/>
          <w:szCs w:val="28"/>
        </w:rPr>
        <w:t>。</w:t>
      </w:r>
      <w:r>
        <w:rPr>
          <w:rFonts w:ascii="宋体" w:hAnsi="宋体"/>
          <w:bCs/>
          <w:sz w:val="28"/>
          <w:szCs w:val="28"/>
        </w:rPr>
        <w:t>最低报价的</w:t>
      </w:r>
      <w:r>
        <w:rPr>
          <w:rFonts w:hint="eastAsia" w:ascii="宋体" w:hAnsi="宋体"/>
          <w:bCs/>
          <w:sz w:val="28"/>
          <w:szCs w:val="28"/>
        </w:rPr>
        <w:t>报价</w:t>
      </w:r>
      <w:r>
        <w:rPr>
          <w:rFonts w:ascii="宋体" w:hAnsi="宋体"/>
          <w:bCs/>
          <w:sz w:val="28"/>
          <w:szCs w:val="28"/>
        </w:rPr>
        <w:t>供应商作为预</w:t>
      </w:r>
      <w:r>
        <w:rPr>
          <w:rFonts w:hint="eastAsia" w:ascii="宋体" w:hAnsi="宋体"/>
          <w:bCs/>
          <w:sz w:val="28"/>
          <w:szCs w:val="28"/>
        </w:rPr>
        <w:t>成交</w:t>
      </w:r>
      <w:r>
        <w:rPr>
          <w:rFonts w:ascii="宋体" w:hAnsi="宋体"/>
          <w:bCs/>
          <w:sz w:val="28"/>
          <w:szCs w:val="28"/>
        </w:rPr>
        <w:t>供应商。报价相同的，按照技术指标优劣顺序排</w:t>
      </w:r>
      <w:r>
        <w:rPr>
          <w:rFonts w:hint="eastAsia" w:ascii="宋体" w:hAnsi="宋体"/>
          <w:bCs/>
          <w:sz w:val="28"/>
          <w:szCs w:val="28"/>
        </w:rPr>
        <w:t>序；无法按照</w:t>
      </w:r>
      <w:r>
        <w:rPr>
          <w:rFonts w:ascii="宋体" w:hAnsi="宋体"/>
          <w:bCs/>
          <w:sz w:val="28"/>
          <w:szCs w:val="28"/>
        </w:rPr>
        <w:t>技术指标优劣顺序排</w:t>
      </w:r>
      <w:r>
        <w:rPr>
          <w:rFonts w:hint="eastAsia" w:ascii="宋体" w:hAnsi="宋体"/>
          <w:bCs/>
          <w:sz w:val="28"/>
          <w:szCs w:val="28"/>
        </w:rPr>
        <w:t>序的，按照专用文件规定的方式推荐</w:t>
      </w:r>
      <w:r>
        <w:rPr>
          <w:rFonts w:ascii="宋体" w:hAnsi="宋体"/>
          <w:bCs/>
          <w:sz w:val="28"/>
          <w:szCs w:val="28"/>
        </w:rPr>
        <w:t>预</w:t>
      </w:r>
      <w:r>
        <w:rPr>
          <w:rFonts w:hint="eastAsia" w:ascii="宋体" w:hAnsi="宋体"/>
          <w:bCs/>
          <w:sz w:val="28"/>
          <w:szCs w:val="28"/>
        </w:rPr>
        <w:t>成交</w:t>
      </w:r>
      <w:r>
        <w:rPr>
          <w:rFonts w:ascii="宋体" w:hAnsi="宋体"/>
          <w:bCs/>
          <w:sz w:val="28"/>
          <w:szCs w:val="28"/>
        </w:rPr>
        <w:t>供应商</w:t>
      </w:r>
      <w:r>
        <w:rPr>
          <w:rFonts w:hint="eastAsia" w:ascii="宋体" w:hAnsi="宋体"/>
          <w:bCs/>
          <w:sz w:val="28"/>
          <w:szCs w:val="28"/>
        </w:rPr>
        <w:t>。</w:t>
      </w:r>
      <w:r>
        <w:rPr>
          <w:rFonts w:hint="eastAsia" w:ascii="仿宋_GB2312" w:hAnsi="仿宋"/>
          <w:bCs/>
          <w:sz w:val="28"/>
          <w:szCs w:val="36"/>
        </w:rPr>
        <w:t>专用文件未明确的，采取随机抽取方式确定。</w:t>
      </w:r>
      <w:r>
        <w:rPr>
          <w:rFonts w:hint="eastAsia" w:ascii="宋体" w:hAnsi="宋体"/>
          <w:bCs/>
          <w:sz w:val="28"/>
          <w:szCs w:val="28"/>
        </w:rPr>
        <w:t>评审委员会</w:t>
      </w:r>
      <w:r>
        <w:rPr>
          <w:rFonts w:ascii="宋体" w:hAnsi="宋体"/>
          <w:bCs/>
          <w:sz w:val="28"/>
          <w:szCs w:val="28"/>
        </w:rPr>
        <w:t>认定为低价恶意竞争的</w:t>
      </w:r>
      <w:r>
        <w:rPr>
          <w:rFonts w:hint="eastAsia" w:ascii="宋体" w:hAnsi="宋体"/>
          <w:bCs/>
          <w:sz w:val="28"/>
          <w:szCs w:val="28"/>
        </w:rPr>
        <w:t>，</w:t>
      </w:r>
      <w:r>
        <w:rPr>
          <w:rFonts w:ascii="宋体" w:hAnsi="宋体"/>
          <w:bCs/>
          <w:sz w:val="28"/>
          <w:szCs w:val="28"/>
        </w:rPr>
        <w:t>视为无效报价。</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34.2</w:t>
      </w:r>
      <w:r>
        <w:rPr>
          <w:rFonts w:hint="eastAsia" w:ascii="宋体" w:hAnsi="宋体"/>
          <w:bCs/>
          <w:sz w:val="28"/>
          <w:szCs w:val="28"/>
        </w:rPr>
        <w:t>报价供应商报价高于全体有效报价供应商平均报价40%以上的，不得推荐为预成交供应商。</w:t>
      </w:r>
      <w:r>
        <w:rPr>
          <w:rFonts w:ascii="宋体" w:hAnsi="宋体"/>
          <w:bCs/>
          <w:sz w:val="28"/>
          <w:szCs w:val="28"/>
        </w:rPr>
        <w:t>采用综合评分法</w:t>
      </w:r>
      <w:r>
        <w:rPr>
          <w:rFonts w:hint="eastAsia" w:ascii="宋体" w:hAnsi="宋体"/>
          <w:bCs/>
          <w:sz w:val="28"/>
          <w:szCs w:val="28"/>
        </w:rPr>
        <w:t>评审时，报价供应商的</w:t>
      </w:r>
      <w:r>
        <w:rPr>
          <w:rFonts w:ascii="宋体" w:hAnsi="宋体"/>
          <w:bCs/>
          <w:sz w:val="28"/>
          <w:szCs w:val="28"/>
        </w:rPr>
        <w:t>商务和技术得分低于所有有效报价供应商商务和技术得分平均值30%以上的</w:t>
      </w:r>
      <w:r>
        <w:rPr>
          <w:rFonts w:hint="eastAsia" w:ascii="宋体" w:hAnsi="宋体"/>
          <w:bCs/>
          <w:sz w:val="28"/>
          <w:szCs w:val="28"/>
        </w:rPr>
        <w:t>报价</w:t>
      </w:r>
      <w:r>
        <w:rPr>
          <w:rFonts w:ascii="宋体" w:hAnsi="宋体"/>
          <w:bCs/>
          <w:sz w:val="28"/>
          <w:szCs w:val="28"/>
        </w:rPr>
        <w:t>供应商，不得推荐为预成交供应商。</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34.3</w:t>
      </w:r>
      <w:r>
        <w:rPr>
          <w:rFonts w:hint="eastAsia" w:ascii="宋体" w:hAnsi="宋体"/>
          <w:bCs/>
          <w:sz w:val="28"/>
          <w:szCs w:val="28"/>
        </w:rPr>
        <w:t>成交供应商数量、价格</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同一品种物资项目通常不得分包，但采购数量金额大或保障范围广，且</w:t>
      </w:r>
      <w:r>
        <w:rPr>
          <w:rFonts w:ascii="宋体" w:hAnsi="宋体"/>
          <w:bCs/>
          <w:sz w:val="28"/>
          <w:szCs w:val="28"/>
        </w:rPr>
        <w:t>1</w:t>
      </w:r>
      <w:r>
        <w:rPr>
          <w:rFonts w:hint="eastAsia" w:ascii="宋体" w:hAnsi="宋体"/>
          <w:bCs/>
          <w:sz w:val="28"/>
          <w:szCs w:val="28"/>
        </w:rPr>
        <w:t>家供应商履约能力无法满足要求的，可以一包选取</w:t>
      </w:r>
      <w:r>
        <w:rPr>
          <w:rFonts w:ascii="宋体" w:hAnsi="宋体"/>
          <w:bCs/>
          <w:sz w:val="28"/>
          <w:szCs w:val="28"/>
        </w:rPr>
        <w:t>2</w:t>
      </w:r>
      <w:r>
        <w:rPr>
          <w:rFonts w:hint="eastAsia" w:ascii="宋体" w:hAnsi="宋体"/>
          <w:bCs/>
          <w:sz w:val="28"/>
          <w:szCs w:val="28"/>
        </w:rPr>
        <w:t>家以上成交供应商，依据排名依次递减的原则确定承担任务数量或范围；也可以分成多包，每包确定</w:t>
      </w:r>
      <w:r>
        <w:rPr>
          <w:rFonts w:ascii="宋体" w:hAnsi="宋体"/>
          <w:bCs/>
          <w:sz w:val="28"/>
          <w:szCs w:val="28"/>
        </w:rPr>
        <w:t>1</w:t>
      </w:r>
      <w:r>
        <w:rPr>
          <w:rFonts w:hint="eastAsia" w:ascii="宋体" w:hAnsi="宋体"/>
          <w:bCs/>
          <w:sz w:val="28"/>
          <w:szCs w:val="28"/>
        </w:rPr>
        <w:t>家供应商。采购机构应当在谈判文件中载明成交供应商数量、承担任务的数量或范围。具体要求见竞争性谈判公告。</w:t>
      </w:r>
    </w:p>
    <w:p>
      <w:pPr>
        <w:adjustRightInd w:val="0"/>
        <w:snapToGrid w:val="0"/>
        <w:spacing w:line="560" w:lineRule="exact"/>
        <w:ind w:firstLine="560" w:firstLineChars="200"/>
        <w:rPr>
          <w:rFonts w:ascii="宋体" w:hAnsi="宋体"/>
          <w:bCs/>
          <w:sz w:val="28"/>
          <w:szCs w:val="28"/>
        </w:rPr>
      </w:pPr>
      <w:r>
        <w:rPr>
          <w:rFonts w:hint="eastAsia" w:ascii="宋体" w:hAnsi="宋体"/>
          <w:sz w:val="28"/>
          <w:szCs w:val="28"/>
        </w:rPr>
        <w:t>确定多家供应商成交的，报价供应商数量通常为成交数量的</w:t>
      </w:r>
      <w:r>
        <w:rPr>
          <w:rFonts w:ascii="宋体" w:hAnsi="宋体"/>
          <w:sz w:val="28"/>
          <w:szCs w:val="28"/>
        </w:rPr>
        <w:t>3</w:t>
      </w:r>
      <w:r>
        <w:rPr>
          <w:rFonts w:hint="eastAsia" w:ascii="宋体" w:hAnsi="宋体"/>
          <w:sz w:val="28"/>
          <w:szCs w:val="28"/>
        </w:rPr>
        <w:t>倍以上；不足</w:t>
      </w:r>
      <w:r>
        <w:rPr>
          <w:rFonts w:ascii="宋体" w:hAnsi="宋体"/>
          <w:sz w:val="28"/>
          <w:szCs w:val="28"/>
        </w:rPr>
        <w:t>3</w:t>
      </w:r>
      <w:r>
        <w:rPr>
          <w:rFonts w:hint="eastAsia" w:ascii="宋体" w:hAnsi="宋体"/>
          <w:sz w:val="28"/>
          <w:szCs w:val="28"/>
        </w:rPr>
        <w:t>倍但达到</w:t>
      </w:r>
      <w:r>
        <w:rPr>
          <w:rFonts w:ascii="宋体" w:hAnsi="宋体"/>
          <w:sz w:val="28"/>
          <w:szCs w:val="28"/>
        </w:rPr>
        <w:t>2</w:t>
      </w:r>
      <w:r>
        <w:rPr>
          <w:rFonts w:hint="eastAsia" w:ascii="宋体" w:hAnsi="宋体"/>
          <w:sz w:val="28"/>
          <w:szCs w:val="28"/>
        </w:rPr>
        <w:t>倍的，按照本章第</w:t>
      </w:r>
      <w:r>
        <w:rPr>
          <w:rFonts w:ascii="宋体" w:hAnsi="宋体"/>
          <w:sz w:val="28"/>
          <w:szCs w:val="28"/>
        </w:rPr>
        <w:t>41.1</w:t>
      </w:r>
      <w:r>
        <w:rPr>
          <w:rFonts w:hint="eastAsia" w:ascii="宋体" w:hAnsi="宋体"/>
          <w:sz w:val="28"/>
          <w:szCs w:val="28"/>
        </w:rPr>
        <w:t>条规定执行；不足</w:t>
      </w:r>
      <w:r>
        <w:rPr>
          <w:rFonts w:ascii="宋体" w:hAnsi="宋体"/>
          <w:sz w:val="28"/>
          <w:szCs w:val="28"/>
        </w:rPr>
        <w:t>2</w:t>
      </w:r>
      <w:r>
        <w:rPr>
          <w:rFonts w:hint="eastAsia" w:ascii="宋体" w:hAnsi="宋体"/>
          <w:sz w:val="28"/>
          <w:szCs w:val="28"/>
        </w:rPr>
        <w:t>倍的，重新组织采购</w:t>
      </w:r>
      <w:r>
        <w:rPr>
          <w:rFonts w:ascii="宋体" w:hAnsi="宋体"/>
          <w:sz w:val="28"/>
          <w:szCs w:val="28"/>
        </w:rPr>
        <w:t>。</w:t>
      </w:r>
      <w:r>
        <w:rPr>
          <w:rFonts w:hint="eastAsia" w:ascii="宋体" w:hAnsi="宋体"/>
          <w:sz w:val="28"/>
          <w:szCs w:val="28"/>
        </w:rPr>
        <w:t>经评审符合要求的报价供应商数量通常为成交数量的</w:t>
      </w:r>
      <w:r>
        <w:rPr>
          <w:rFonts w:ascii="宋体" w:hAnsi="宋体"/>
          <w:sz w:val="28"/>
          <w:szCs w:val="28"/>
        </w:rPr>
        <w:t>2倍以上</w:t>
      </w:r>
      <w:r>
        <w:rPr>
          <w:rFonts w:hint="eastAsia" w:ascii="宋体" w:hAnsi="宋体"/>
          <w:sz w:val="28"/>
          <w:szCs w:val="28"/>
        </w:rPr>
        <w:t>；不足</w:t>
      </w:r>
      <w:r>
        <w:rPr>
          <w:rFonts w:ascii="宋体" w:hAnsi="宋体"/>
          <w:sz w:val="28"/>
          <w:szCs w:val="28"/>
        </w:rPr>
        <w:t>2</w:t>
      </w:r>
      <w:r>
        <w:rPr>
          <w:rFonts w:hint="eastAsia" w:ascii="宋体" w:hAnsi="宋体"/>
          <w:sz w:val="28"/>
          <w:szCs w:val="28"/>
        </w:rPr>
        <w:t>倍但达到</w:t>
      </w:r>
      <w:r>
        <w:rPr>
          <w:rFonts w:ascii="宋体" w:hAnsi="宋体"/>
          <w:sz w:val="28"/>
          <w:szCs w:val="28"/>
        </w:rPr>
        <w:t>1.5</w:t>
      </w:r>
      <w:r>
        <w:rPr>
          <w:rFonts w:hint="eastAsia" w:ascii="宋体" w:hAnsi="宋体"/>
          <w:sz w:val="28"/>
          <w:szCs w:val="28"/>
        </w:rPr>
        <w:t>倍的，采购机构可以商采购单位相应减少成交数量，经采购单位</w:t>
      </w:r>
      <w:r>
        <w:rPr>
          <w:rFonts w:hint="eastAsia" w:ascii="宋体" w:hAnsi="宋体"/>
          <w:bCs/>
          <w:sz w:val="28"/>
          <w:szCs w:val="28"/>
        </w:rPr>
        <w:t>书面确认后继续组织评审，否则重新组织采购。</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成交供应商可以执行各自报价，或按照下列方式处理：</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）报价高于或等于第一名预成交供应商的，成交价格执行第一名预成交供应商报价，报价低于第一名成交供应商的，执行各自报价；</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）预成交供应商不接受第一名预成交供应商报价的，视为放弃成交资格，其放弃的数量，按照评审排名，从第一名开始，依次商报价供应商承担。</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多家报价供应商成交价格确定方式应当唯一，具体方式见谈判文件专用文件。</w:t>
      </w:r>
    </w:p>
    <w:p>
      <w:pPr>
        <w:pStyle w:val="6"/>
        <w:keepNext w:val="0"/>
        <w:keepLines w:val="0"/>
        <w:adjustRightInd w:val="0"/>
        <w:snapToGrid w:val="0"/>
        <w:spacing w:before="0" w:after="0" w:line="560" w:lineRule="exact"/>
        <w:ind w:firstLine="560" w:firstLineChars="200"/>
        <w:rPr>
          <w:rFonts w:ascii="黑体" w:hAnsi="黑体"/>
          <w:b w:val="0"/>
        </w:rPr>
      </w:pPr>
      <w:r>
        <w:rPr>
          <w:rFonts w:ascii="黑体" w:hAnsi="黑体"/>
          <w:b w:val="0"/>
        </w:rPr>
        <w:t>35.</w:t>
      </w:r>
      <w:r>
        <w:rPr>
          <w:rFonts w:hint="eastAsia" w:ascii="黑体" w:hAnsi="黑体"/>
          <w:b w:val="0"/>
        </w:rPr>
        <w:t>出具评审报告</w:t>
      </w:r>
    </w:p>
    <w:p>
      <w:pPr>
        <w:adjustRightInd w:val="0"/>
        <w:snapToGrid w:val="0"/>
        <w:spacing w:line="560" w:lineRule="exact"/>
        <w:ind w:firstLine="560" w:firstLineChars="200"/>
      </w:pPr>
      <w:r>
        <w:rPr>
          <w:rFonts w:asciiTheme="minorEastAsia" w:hAnsiTheme="minorEastAsia" w:eastAsiaTheme="minorEastAsia"/>
          <w:bCs/>
          <w:sz w:val="28"/>
          <w:szCs w:val="28"/>
        </w:rPr>
        <w:t>35.1</w:t>
      </w:r>
      <w:r>
        <w:rPr>
          <w:rFonts w:hint="eastAsia" w:ascii="宋体" w:hAnsi="宋体"/>
          <w:bCs/>
          <w:sz w:val="28"/>
          <w:szCs w:val="28"/>
        </w:rPr>
        <w:t>评审委员会根据全体成员签字的原始评标记录和评审结果编写评审报告。评审报告主要内容由评审委员会全体成员逐页签字确认。评审委员会成员对需要共同认定的事项存在争议的，按照少数服从多数的原则作出结论。持不同意见的评审委员会成员应当在评审报告上签署不同意见并说明理由；只签字未写明不同意见或只写明不同意见未说明理由的，视为无意见；不签字的，不影响评审报告的有效性。</w:t>
      </w:r>
    </w:p>
    <w:p>
      <w:pPr>
        <w:pStyle w:val="6"/>
        <w:keepNext w:val="0"/>
        <w:keepLines w:val="0"/>
        <w:adjustRightInd w:val="0"/>
        <w:snapToGrid w:val="0"/>
        <w:spacing w:before="0" w:after="0" w:line="560" w:lineRule="exact"/>
        <w:ind w:firstLine="560" w:firstLineChars="200"/>
        <w:rPr>
          <w:rFonts w:ascii="黑体" w:hAnsi="黑体"/>
          <w:b w:val="0"/>
        </w:rPr>
      </w:pPr>
      <w:r>
        <w:rPr>
          <w:rFonts w:ascii="黑体" w:hAnsi="黑体"/>
          <w:b w:val="0"/>
        </w:rPr>
        <w:t>36.</w:t>
      </w:r>
      <w:r>
        <w:rPr>
          <w:rFonts w:hint="eastAsia" w:ascii="黑体" w:hAnsi="黑体"/>
          <w:b w:val="0"/>
        </w:rPr>
        <w:t>宣布评审结果</w:t>
      </w:r>
    </w:p>
    <w:p>
      <w:pPr>
        <w:adjustRightInd w:val="0"/>
        <w:snapToGrid w:val="0"/>
        <w:spacing w:line="560" w:lineRule="exact"/>
        <w:ind w:firstLine="560" w:firstLineChars="200"/>
        <w:rPr>
          <w:rFonts w:ascii="宋体" w:hAnsi="宋体"/>
          <w:bCs/>
          <w:sz w:val="28"/>
          <w:szCs w:val="28"/>
        </w:rPr>
      </w:pPr>
      <w:r>
        <w:rPr>
          <w:rFonts w:asciiTheme="minorEastAsia" w:hAnsiTheme="minorEastAsia" w:eastAsiaTheme="minorEastAsia"/>
          <w:bCs/>
          <w:sz w:val="28"/>
          <w:szCs w:val="28"/>
        </w:rPr>
        <w:t>36.1</w:t>
      </w:r>
      <w:r>
        <w:rPr>
          <w:rFonts w:hint="eastAsia" w:ascii="宋体" w:hAnsi="宋体"/>
          <w:bCs/>
          <w:sz w:val="28"/>
          <w:szCs w:val="28"/>
        </w:rPr>
        <w:t>评审委员会组长应当当场向所有报价供应商宣布评审结果，包括报价供应商评审排名和最终报价，无效报价供应商名单和原因等。报价供应商有疑义的，评审委员会应当当场予以解答。</w:t>
      </w:r>
    </w:p>
    <w:p>
      <w:pPr>
        <w:pStyle w:val="6"/>
        <w:keepNext w:val="0"/>
        <w:keepLines w:val="0"/>
        <w:adjustRightInd w:val="0"/>
        <w:snapToGrid w:val="0"/>
        <w:spacing w:before="0" w:after="0" w:line="560" w:lineRule="exact"/>
        <w:ind w:firstLine="560" w:firstLineChars="200"/>
        <w:rPr>
          <w:rFonts w:ascii="黑体" w:hAnsi="黑体"/>
          <w:b w:val="0"/>
        </w:rPr>
      </w:pPr>
      <w:bookmarkStart w:id="243" w:name="_Toc121216116"/>
      <w:bookmarkStart w:id="244" w:name="_Toc25551"/>
      <w:bookmarkStart w:id="245" w:name="_Toc8122"/>
      <w:bookmarkStart w:id="246" w:name="_Toc2853"/>
      <w:bookmarkStart w:id="247" w:name="_Toc7662"/>
      <w:r>
        <w:rPr>
          <w:rFonts w:ascii="黑体" w:hAnsi="黑体"/>
          <w:b w:val="0"/>
        </w:rPr>
        <w:t>37.</w:t>
      </w:r>
      <w:r>
        <w:rPr>
          <w:rFonts w:hint="eastAsia" w:ascii="黑体" w:hAnsi="黑体"/>
          <w:b w:val="0"/>
        </w:rPr>
        <w:t>无效</w:t>
      </w:r>
      <w:bookmarkEnd w:id="243"/>
      <w:bookmarkEnd w:id="244"/>
      <w:bookmarkEnd w:id="245"/>
      <w:bookmarkEnd w:id="246"/>
      <w:bookmarkEnd w:id="247"/>
      <w:r>
        <w:rPr>
          <w:rFonts w:hint="eastAsia" w:ascii="黑体" w:hAnsi="黑体"/>
          <w:b w:val="0"/>
        </w:rPr>
        <w:t>报价</w:t>
      </w:r>
    </w:p>
    <w:p>
      <w:pPr>
        <w:pStyle w:val="117"/>
        <w:adjustRightInd w:val="0"/>
        <w:snapToGrid w:val="0"/>
        <w:spacing w:line="560" w:lineRule="exact"/>
        <w:ind w:firstLine="560"/>
        <w:rPr>
          <w:rFonts w:ascii="宋体" w:hAnsi="宋体"/>
          <w:bCs/>
          <w:sz w:val="28"/>
          <w:szCs w:val="28"/>
        </w:rPr>
      </w:pPr>
      <w:r>
        <w:rPr>
          <w:rFonts w:ascii="宋体" w:hAnsi="宋体"/>
          <w:bCs/>
          <w:sz w:val="28"/>
          <w:szCs w:val="28"/>
        </w:rPr>
        <w:t>37.1在</w:t>
      </w:r>
      <w:r>
        <w:rPr>
          <w:rFonts w:hint="eastAsia" w:ascii="宋体" w:hAnsi="宋体"/>
          <w:bCs/>
          <w:sz w:val="28"/>
          <w:szCs w:val="28"/>
        </w:rPr>
        <w:t>资格性审查</w:t>
      </w:r>
      <w:r>
        <w:rPr>
          <w:rFonts w:ascii="宋体" w:hAnsi="宋体"/>
          <w:bCs/>
          <w:sz w:val="28"/>
          <w:szCs w:val="28"/>
        </w:rPr>
        <w:t>过程中，有下列情形之一者，</w:t>
      </w:r>
      <w:r>
        <w:rPr>
          <w:rFonts w:hint="eastAsia" w:ascii="仿宋_GB2312" w:hAnsi="仿宋"/>
          <w:bCs/>
          <w:sz w:val="28"/>
          <w:szCs w:val="28"/>
        </w:rPr>
        <w:t>按照无效报价处理</w:t>
      </w:r>
      <w:r>
        <w:rPr>
          <w:rFonts w:hint="eastAsia" w:ascii="宋体" w:hAnsi="宋体"/>
          <w:bCs/>
          <w:sz w:val="28"/>
          <w:szCs w:val="28"/>
        </w:rPr>
        <w:t>，但符合本文件第</w:t>
      </w:r>
      <w:r>
        <w:rPr>
          <w:rFonts w:ascii="宋体" w:hAnsi="宋体"/>
          <w:bCs/>
          <w:sz w:val="28"/>
          <w:szCs w:val="28"/>
        </w:rPr>
        <w:t>38</w:t>
      </w:r>
      <w:r>
        <w:rPr>
          <w:rFonts w:hint="eastAsia" w:ascii="宋体" w:hAnsi="宋体"/>
          <w:bCs/>
          <w:sz w:val="28"/>
          <w:szCs w:val="28"/>
        </w:rPr>
        <w:t>条规定的情形除外：</w:t>
      </w:r>
    </w:p>
    <w:p>
      <w:pPr>
        <w:pStyle w:val="117"/>
        <w:adjustRightInd w:val="0"/>
        <w:snapToGrid w:val="0"/>
        <w:spacing w:line="560" w:lineRule="exact"/>
        <w:ind w:firstLine="56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未按照谈判文件要求密封的；</w:t>
      </w:r>
    </w:p>
    <w:p>
      <w:pPr>
        <w:spacing w:line="560" w:lineRule="exact"/>
        <w:ind w:firstLine="560" w:firstLineChars="200"/>
        <w:rPr>
          <w:rFonts w:ascii="宋体" w:hAnsi="宋体"/>
          <w:bCs/>
          <w:kern w:val="0"/>
          <w:sz w:val="28"/>
          <w:szCs w:val="28"/>
        </w:rPr>
      </w:pPr>
      <w:r>
        <w:rPr>
          <w:rFonts w:hint="eastAsia" w:ascii="宋体" w:hAnsi="宋体"/>
          <w:bCs/>
          <w:kern w:val="0"/>
          <w:sz w:val="28"/>
          <w:szCs w:val="28"/>
        </w:rPr>
        <w:t>（</w:t>
      </w:r>
      <w:r>
        <w:rPr>
          <w:rFonts w:ascii="宋体" w:hAnsi="宋体"/>
          <w:bCs/>
          <w:kern w:val="0"/>
          <w:sz w:val="28"/>
          <w:szCs w:val="28"/>
        </w:rPr>
        <w:t>2）</w:t>
      </w:r>
      <w:r>
        <w:rPr>
          <w:rFonts w:hint="eastAsia" w:ascii="宋体" w:hAnsi="宋体"/>
          <w:bCs/>
          <w:kern w:val="0"/>
          <w:sz w:val="28"/>
          <w:szCs w:val="28"/>
        </w:rPr>
        <w:t>不具备谈判文件中规定的资格性要求的；</w:t>
      </w:r>
    </w:p>
    <w:p>
      <w:pPr>
        <w:spacing w:line="560" w:lineRule="exact"/>
        <w:ind w:firstLine="560" w:firstLineChars="200"/>
        <w:rPr>
          <w:rFonts w:ascii="宋体" w:hAnsi="宋体"/>
          <w:bCs/>
          <w:kern w:val="0"/>
          <w:sz w:val="28"/>
          <w:szCs w:val="28"/>
        </w:rPr>
      </w:pPr>
      <w:r>
        <w:rPr>
          <w:rFonts w:hint="eastAsia" w:ascii="宋体" w:hAnsi="宋体"/>
          <w:bCs/>
          <w:kern w:val="0"/>
          <w:sz w:val="28"/>
          <w:szCs w:val="28"/>
        </w:rPr>
        <w:t>（</w:t>
      </w:r>
      <w:r>
        <w:rPr>
          <w:rFonts w:ascii="宋体" w:hAnsi="宋体"/>
          <w:bCs/>
          <w:kern w:val="0"/>
          <w:sz w:val="28"/>
          <w:szCs w:val="28"/>
        </w:rPr>
        <w:t>3）</w:t>
      </w:r>
      <w:r>
        <w:rPr>
          <w:rFonts w:hint="eastAsia" w:ascii="宋体" w:hAnsi="宋体"/>
          <w:bCs/>
          <w:kern w:val="0"/>
          <w:sz w:val="28"/>
          <w:szCs w:val="28"/>
        </w:rPr>
        <w:t>法定代表人授权不符合要求的；</w:t>
      </w:r>
    </w:p>
    <w:p>
      <w:pPr>
        <w:spacing w:line="560" w:lineRule="exact"/>
        <w:ind w:firstLine="560" w:firstLineChars="200"/>
        <w:rPr>
          <w:rFonts w:ascii="宋体" w:hAnsi="宋体"/>
          <w:bCs/>
          <w:kern w:val="0"/>
          <w:sz w:val="28"/>
          <w:szCs w:val="28"/>
        </w:rPr>
      </w:pPr>
      <w:r>
        <w:rPr>
          <w:rFonts w:hint="eastAsia" w:ascii="宋体" w:hAnsi="宋体"/>
          <w:bCs/>
          <w:kern w:val="0"/>
          <w:sz w:val="28"/>
          <w:szCs w:val="28"/>
        </w:rPr>
        <w:t>（</w:t>
      </w:r>
      <w:r>
        <w:rPr>
          <w:rFonts w:ascii="宋体" w:hAnsi="宋体"/>
          <w:bCs/>
          <w:kern w:val="0"/>
          <w:sz w:val="28"/>
          <w:szCs w:val="28"/>
        </w:rPr>
        <w:t>4）</w:t>
      </w:r>
      <w:r>
        <w:rPr>
          <w:rFonts w:hint="eastAsia" w:ascii="宋体" w:hAnsi="宋体"/>
          <w:bCs/>
          <w:kern w:val="0"/>
          <w:sz w:val="28"/>
          <w:szCs w:val="28"/>
        </w:rPr>
        <w:t>属于禁止参加报价供应商的；</w:t>
      </w:r>
    </w:p>
    <w:p>
      <w:pPr>
        <w:spacing w:line="560" w:lineRule="exact"/>
        <w:ind w:firstLine="560" w:firstLineChars="200"/>
        <w:rPr>
          <w:rFonts w:ascii="宋体" w:hAnsi="宋体"/>
          <w:bCs/>
          <w:kern w:val="0"/>
          <w:sz w:val="28"/>
          <w:szCs w:val="28"/>
        </w:rPr>
      </w:pPr>
      <w:r>
        <w:rPr>
          <w:rFonts w:hint="eastAsia" w:ascii="宋体" w:hAnsi="宋体"/>
          <w:bCs/>
          <w:kern w:val="0"/>
          <w:sz w:val="28"/>
          <w:szCs w:val="28"/>
        </w:rPr>
        <w:t>（</w:t>
      </w:r>
      <w:r>
        <w:rPr>
          <w:rFonts w:ascii="宋体" w:hAnsi="宋体"/>
          <w:bCs/>
          <w:kern w:val="0"/>
          <w:sz w:val="28"/>
          <w:szCs w:val="28"/>
        </w:rPr>
        <w:t>5）</w:t>
      </w:r>
      <w:r>
        <w:rPr>
          <w:rFonts w:hint="eastAsia" w:ascii="宋体" w:hAnsi="宋体"/>
          <w:bCs/>
          <w:kern w:val="0"/>
          <w:sz w:val="28"/>
          <w:szCs w:val="28"/>
        </w:rPr>
        <w:t>未按照规定交纳谈判保证金的；</w:t>
      </w:r>
    </w:p>
    <w:p>
      <w:pPr>
        <w:adjustRightInd w:val="0"/>
        <w:snapToGrid w:val="0"/>
        <w:spacing w:line="560" w:lineRule="exact"/>
        <w:ind w:firstLine="560" w:firstLineChars="200"/>
        <w:rPr>
          <w:rFonts w:ascii="宋体" w:hAnsi="宋体"/>
          <w:bCs/>
          <w:sz w:val="28"/>
          <w:szCs w:val="28"/>
        </w:rPr>
      </w:pPr>
      <w:r>
        <w:rPr>
          <w:rFonts w:hint="eastAsia" w:ascii="宋体" w:hAnsi="宋体"/>
          <w:bCs/>
          <w:kern w:val="0"/>
          <w:sz w:val="28"/>
          <w:szCs w:val="28"/>
        </w:rPr>
        <w:t>（</w:t>
      </w:r>
      <w:r>
        <w:rPr>
          <w:rFonts w:ascii="宋体" w:hAnsi="宋体"/>
          <w:bCs/>
          <w:kern w:val="0"/>
          <w:sz w:val="28"/>
          <w:szCs w:val="28"/>
        </w:rPr>
        <w:t>6）</w:t>
      </w:r>
      <w:r>
        <w:rPr>
          <w:rFonts w:hint="eastAsia" w:ascii="宋体" w:hAnsi="宋体"/>
          <w:bCs/>
          <w:kern w:val="0"/>
          <w:sz w:val="28"/>
          <w:szCs w:val="28"/>
        </w:rPr>
        <w:t>不符合国家和军队法律法规规定的资格性要求的。</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37.2在</w:t>
      </w:r>
      <w:r>
        <w:rPr>
          <w:rFonts w:hint="eastAsia" w:ascii="宋体" w:hAnsi="宋体"/>
          <w:bCs/>
          <w:sz w:val="28"/>
          <w:szCs w:val="28"/>
        </w:rPr>
        <w:t>符合性审查</w:t>
      </w:r>
      <w:r>
        <w:rPr>
          <w:rFonts w:ascii="宋体" w:hAnsi="宋体"/>
          <w:bCs/>
          <w:sz w:val="28"/>
          <w:szCs w:val="28"/>
        </w:rPr>
        <w:t>过程中，有下列情形之一者，</w:t>
      </w:r>
      <w:r>
        <w:rPr>
          <w:rFonts w:hint="eastAsia" w:ascii="仿宋_GB2312" w:hAnsi="仿宋"/>
          <w:bCs/>
          <w:sz w:val="28"/>
          <w:szCs w:val="28"/>
        </w:rPr>
        <w:t>按照无效报价处理</w:t>
      </w:r>
      <w:r>
        <w:rPr>
          <w:rFonts w:hint="eastAsia" w:ascii="宋体" w:hAnsi="宋体"/>
          <w:bCs/>
          <w:sz w:val="28"/>
          <w:szCs w:val="28"/>
        </w:rPr>
        <w:t>，但符合本文件第</w:t>
      </w:r>
      <w:r>
        <w:rPr>
          <w:rFonts w:ascii="宋体" w:hAnsi="宋体"/>
          <w:bCs/>
          <w:sz w:val="28"/>
          <w:szCs w:val="28"/>
        </w:rPr>
        <w:t>38条规定的情形除外：</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1）</w:t>
      </w:r>
      <w:r>
        <w:rPr>
          <w:rFonts w:hint="eastAsia" w:ascii="仿宋_GB2312" w:hAnsi="仿宋" w:cs="仿宋"/>
          <w:bCs/>
          <w:sz w:val="28"/>
          <w:szCs w:val="28"/>
        </w:rPr>
        <w:t>未按照谈判文件要求签署、盖章的；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报价</w:t>
      </w:r>
      <w:r>
        <w:rPr>
          <w:rFonts w:hint="eastAsia" w:ascii="仿宋_GB2312" w:hAnsi="仿宋" w:cs="仿宋"/>
          <w:bCs/>
          <w:sz w:val="28"/>
          <w:szCs w:val="28"/>
        </w:rPr>
        <w:t>有效期不符合谈判文件要求的；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（3）技术</w:t>
      </w:r>
      <w:r>
        <w:rPr>
          <w:rFonts w:hint="eastAsia" w:ascii="仿宋_GB2312" w:hAnsi="仿宋" w:cs="仿宋"/>
          <w:bCs/>
          <w:sz w:val="28"/>
          <w:szCs w:val="28"/>
        </w:rPr>
        <w:t>和商务的实质性条款不满足谈判文件要求的；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（4）其他不</w:t>
      </w:r>
      <w:r>
        <w:rPr>
          <w:rFonts w:hint="eastAsia" w:ascii="仿宋_GB2312" w:hAnsi="仿宋" w:cs="仿宋"/>
          <w:bCs/>
          <w:sz w:val="28"/>
          <w:szCs w:val="28"/>
        </w:rPr>
        <w:t>满足谈判文件载明的符合性要求的。</w:t>
      </w:r>
    </w:p>
    <w:p>
      <w:pPr>
        <w:spacing w:line="580" w:lineRule="exact"/>
        <w:ind w:firstLine="560" w:firstLineChars="200"/>
        <w:rPr>
          <w:rFonts w:ascii="宋体" w:hAnsi="宋体"/>
          <w:sz w:val="28"/>
          <w:szCs w:val="28"/>
        </w:rPr>
      </w:pPr>
      <w:r>
        <w:rPr>
          <w:rFonts w:ascii="宋体" w:hAnsi="宋体"/>
          <w:bCs/>
          <w:sz w:val="28"/>
          <w:szCs w:val="28"/>
        </w:rPr>
        <w:t>37.3</w:t>
      </w:r>
      <w:r>
        <w:rPr>
          <w:rFonts w:hint="eastAsia" w:ascii="宋体" w:hAnsi="宋体"/>
          <w:sz w:val="28"/>
          <w:szCs w:val="28"/>
        </w:rPr>
        <w:t>有下列情形之一的，属于报价供应商相互串通报价，按照无效报价处理：</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1</w:t>
      </w:r>
      <w:r>
        <w:rPr>
          <w:rFonts w:hint="eastAsia" w:ascii="宋体" w:hAnsi="宋体" w:cs="仿宋"/>
          <w:sz w:val="28"/>
          <w:szCs w:val="28"/>
        </w:rPr>
        <w:t>）报价供应商之间约定成交供应商的；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2</w:t>
      </w:r>
      <w:r>
        <w:rPr>
          <w:rFonts w:hint="eastAsia" w:ascii="宋体" w:hAnsi="宋体" w:cs="仿宋"/>
          <w:sz w:val="28"/>
          <w:szCs w:val="28"/>
        </w:rPr>
        <w:t>）报价供应商之间约定部分放弃报价或成交的；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3</w:t>
      </w:r>
      <w:r>
        <w:rPr>
          <w:rFonts w:hint="eastAsia" w:ascii="宋体" w:hAnsi="宋体" w:cs="仿宋"/>
          <w:sz w:val="28"/>
          <w:szCs w:val="28"/>
        </w:rPr>
        <w:t>）同一集团成员的报价供应商按照该集团要求协同报价的；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4</w:t>
      </w:r>
      <w:r>
        <w:rPr>
          <w:rFonts w:hint="eastAsia" w:ascii="宋体" w:hAnsi="宋体" w:cs="仿宋"/>
          <w:sz w:val="28"/>
          <w:szCs w:val="28"/>
        </w:rPr>
        <w:t>）报价供应商之间为谋取成交或排斥特定报价供应商而采取其他联合行动的；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5</w:t>
      </w:r>
      <w:r>
        <w:rPr>
          <w:rFonts w:hint="eastAsia" w:ascii="宋体" w:hAnsi="宋体" w:cs="仿宋"/>
          <w:sz w:val="28"/>
          <w:szCs w:val="28"/>
        </w:rPr>
        <w:t>）国家和</w:t>
      </w:r>
      <w:r>
        <w:rPr>
          <w:rFonts w:ascii="宋体" w:hAnsi="宋体" w:cs="仿宋"/>
          <w:sz w:val="28"/>
          <w:szCs w:val="28"/>
        </w:rPr>
        <w:t>军队法律法规规定的其他情形。</w:t>
      </w:r>
    </w:p>
    <w:p>
      <w:pPr>
        <w:spacing w:line="560" w:lineRule="exact"/>
        <w:ind w:firstLine="560" w:firstLineChars="200"/>
        <w:rPr>
          <w:rFonts w:ascii="宋体" w:hAnsi="宋体"/>
          <w:sz w:val="28"/>
          <w:szCs w:val="28"/>
        </w:rPr>
      </w:pPr>
      <w:r>
        <w:rPr>
          <w:rFonts w:ascii="宋体" w:hAnsi="宋体"/>
          <w:sz w:val="28"/>
          <w:szCs w:val="28"/>
        </w:rPr>
        <w:t>37.4</w:t>
      </w:r>
      <w:r>
        <w:rPr>
          <w:rFonts w:hint="eastAsia" w:ascii="宋体" w:hAnsi="宋体"/>
          <w:sz w:val="28"/>
          <w:szCs w:val="28"/>
        </w:rPr>
        <w:t>有下列情形之一的，视为报价供应商相互串通报价，按照无效报价处理：</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1</w:t>
      </w:r>
      <w:r>
        <w:rPr>
          <w:rFonts w:hint="eastAsia" w:ascii="宋体" w:hAnsi="宋体" w:cs="仿宋"/>
          <w:sz w:val="28"/>
          <w:szCs w:val="28"/>
        </w:rPr>
        <w:t>）不同报价供应商的报价文件由同一单位或个人编制的，以及报价使用同一加密锁或具有相同</w:t>
      </w:r>
      <w:r>
        <w:rPr>
          <w:rFonts w:ascii="宋体" w:hAnsi="宋体" w:cs="仿宋"/>
          <w:sz w:val="28"/>
          <w:szCs w:val="28"/>
        </w:rPr>
        <w:t>Mac地址的；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2</w:t>
      </w:r>
      <w:r>
        <w:rPr>
          <w:rFonts w:hint="eastAsia" w:ascii="宋体" w:hAnsi="宋体" w:cs="仿宋"/>
          <w:sz w:val="28"/>
          <w:szCs w:val="28"/>
        </w:rPr>
        <w:t>）不同报价供应商委托同一单位或个人办理报价事宜的；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3</w:t>
      </w:r>
      <w:r>
        <w:rPr>
          <w:rFonts w:hint="eastAsia" w:ascii="宋体" w:hAnsi="宋体" w:cs="仿宋"/>
          <w:sz w:val="28"/>
          <w:szCs w:val="28"/>
        </w:rPr>
        <w:t>）不同报价供应商的报价文件载明的项目管理成员为同一人的；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4</w:t>
      </w:r>
      <w:r>
        <w:rPr>
          <w:rFonts w:hint="eastAsia" w:ascii="宋体" w:hAnsi="宋体" w:cs="仿宋"/>
          <w:sz w:val="28"/>
          <w:szCs w:val="28"/>
        </w:rPr>
        <w:t>）不同报价供应商的报价文件异常一致或报价呈规律性差异的；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5</w:t>
      </w:r>
      <w:r>
        <w:rPr>
          <w:rFonts w:hint="eastAsia" w:ascii="宋体" w:hAnsi="宋体" w:cs="仿宋"/>
          <w:sz w:val="28"/>
          <w:szCs w:val="28"/>
        </w:rPr>
        <w:t>）不同报价供应商的报价文件混装、签章混用的；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6</w:t>
      </w:r>
      <w:r>
        <w:rPr>
          <w:rFonts w:hint="eastAsia" w:ascii="宋体" w:hAnsi="宋体" w:cs="仿宋"/>
          <w:sz w:val="28"/>
          <w:szCs w:val="28"/>
        </w:rPr>
        <w:t>）不同报价供应商的报价保证金从同一单位或个人的账户转出的；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7</w:t>
      </w:r>
      <w:r>
        <w:rPr>
          <w:rFonts w:hint="eastAsia" w:ascii="宋体" w:hAnsi="宋体" w:cs="仿宋"/>
          <w:sz w:val="28"/>
          <w:szCs w:val="28"/>
        </w:rPr>
        <w:t>）国家和</w:t>
      </w:r>
      <w:r>
        <w:rPr>
          <w:rFonts w:ascii="宋体" w:hAnsi="宋体" w:cs="仿宋"/>
          <w:sz w:val="28"/>
          <w:szCs w:val="28"/>
        </w:rPr>
        <w:t>军队法律法规规定的其他情形。</w:t>
      </w:r>
    </w:p>
    <w:p>
      <w:pPr>
        <w:spacing w:line="560" w:lineRule="exact"/>
        <w:ind w:firstLine="560" w:firstLineChars="200"/>
        <w:rPr>
          <w:rFonts w:ascii="宋体" w:hAnsi="宋体"/>
          <w:sz w:val="28"/>
          <w:szCs w:val="28"/>
        </w:rPr>
      </w:pPr>
      <w:r>
        <w:rPr>
          <w:rFonts w:ascii="宋体" w:hAnsi="宋体"/>
          <w:sz w:val="28"/>
          <w:szCs w:val="28"/>
        </w:rPr>
        <w:t>37.5</w:t>
      </w:r>
      <w:r>
        <w:rPr>
          <w:rFonts w:hint="eastAsia" w:ascii="宋体" w:hAnsi="宋体"/>
          <w:sz w:val="28"/>
          <w:szCs w:val="28"/>
        </w:rPr>
        <w:t>有下列情形之一的，属于采购机构、采购单位与报价供应商串通报价，按照无效报价处理：</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1</w:t>
      </w:r>
      <w:r>
        <w:rPr>
          <w:rFonts w:hint="eastAsia" w:ascii="宋体" w:hAnsi="宋体" w:cs="仿宋"/>
          <w:sz w:val="28"/>
          <w:szCs w:val="28"/>
        </w:rPr>
        <w:t>）在谈判前开启报价文件并将有关信息泄露给其他报价供应商的；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2</w:t>
      </w:r>
      <w:r>
        <w:rPr>
          <w:rFonts w:hint="eastAsia" w:ascii="宋体" w:hAnsi="宋体" w:cs="仿宋"/>
          <w:sz w:val="28"/>
          <w:szCs w:val="28"/>
        </w:rPr>
        <w:t>）直接或间接向报价供应商泄露评审委员会成员信息的；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3</w:t>
      </w:r>
      <w:r>
        <w:rPr>
          <w:rFonts w:hint="eastAsia" w:ascii="宋体" w:hAnsi="宋体" w:cs="仿宋"/>
          <w:sz w:val="28"/>
          <w:szCs w:val="28"/>
        </w:rPr>
        <w:t>）明示或暗示报价供应商压低或抬高报价价格的；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4</w:t>
      </w:r>
      <w:r>
        <w:rPr>
          <w:rFonts w:hint="eastAsia" w:ascii="宋体" w:hAnsi="宋体" w:cs="仿宋"/>
          <w:sz w:val="28"/>
          <w:szCs w:val="28"/>
        </w:rPr>
        <w:t>）授意报价供应商撤换、修改报价文件的；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5</w:t>
      </w:r>
      <w:r>
        <w:rPr>
          <w:rFonts w:hint="eastAsia" w:ascii="宋体" w:hAnsi="宋体" w:cs="仿宋"/>
          <w:sz w:val="28"/>
          <w:szCs w:val="28"/>
        </w:rPr>
        <w:t>）明示或暗示报价供应商为特定报价供应商成交提供方便的；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6</w:t>
      </w:r>
      <w:r>
        <w:rPr>
          <w:rFonts w:hint="eastAsia" w:ascii="宋体" w:hAnsi="宋体" w:cs="仿宋"/>
          <w:sz w:val="28"/>
          <w:szCs w:val="28"/>
        </w:rPr>
        <w:t>）明示或暗示评审委员会为特定报价供应商成交提供方便的；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7</w:t>
      </w:r>
      <w:r>
        <w:rPr>
          <w:rFonts w:hint="eastAsia" w:ascii="宋体" w:hAnsi="宋体" w:cs="仿宋"/>
          <w:sz w:val="28"/>
          <w:szCs w:val="28"/>
        </w:rPr>
        <w:t>）在报价前与报价供应商就采购项目进行实质性谈判的；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8</w:t>
      </w:r>
      <w:r>
        <w:rPr>
          <w:rFonts w:hint="eastAsia" w:ascii="宋体" w:hAnsi="宋体" w:cs="仿宋"/>
          <w:sz w:val="28"/>
          <w:szCs w:val="28"/>
        </w:rPr>
        <w:t>）与报价供应商为谋求特定报价供应商成交而采取其他串通行为的；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9</w:t>
      </w:r>
      <w:r>
        <w:rPr>
          <w:rFonts w:hint="eastAsia" w:ascii="宋体" w:hAnsi="宋体" w:cs="仿宋"/>
          <w:sz w:val="28"/>
          <w:szCs w:val="28"/>
        </w:rPr>
        <w:t>）国家和</w:t>
      </w:r>
      <w:r>
        <w:rPr>
          <w:rFonts w:ascii="宋体" w:hAnsi="宋体" w:cs="仿宋"/>
          <w:sz w:val="28"/>
          <w:szCs w:val="28"/>
        </w:rPr>
        <w:t>军队法律法规规定的其他情形。</w:t>
      </w:r>
    </w:p>
    <w:p>
      <w:pPr>
        <w:spacing w:line="560" w:lineRule="exact"/>
        <w:ind w:firstLine="560" w:firstLineChars="200"/>
        <w:rPr>
          <w:rFonts w:ascii="宋体" w:hAnsi="宋体"/>
          <w:sz w:val="28"/>
          <w:szCs w:val="28"/>
        </w:rPr>
      </w:pPr>
      <w:r>
        <w:rPr>
          <w:rFonts w:ascii="宋体" w:hAnsi="宋体"/>
          <w:sz w:val="28"/>
          <w:szCs w:val="28"/>
        </w:rPr>
        <w:t>37.6</w:t>
      </w:r>
      <w:r>
        <w:rPr>
          <w:rFonts w:hint="eastAsia" w:ascii="宋体" w:hAnsi="宋体"/>
          <w:sz w:val="28"/>
          <w:szCs w:val="28"/>
        </w:rPr>
        <w:t>有下列情形之一的，属于虚假报价，按照无效报价处理：</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1</w:t>
      </w:r>
      <w:r>
        <w:rPr>
          <w:rFonts w:hint="eastAsia" w:ascii="宋体" w:hAnsi="宋体" w:cs="仿宋"/>
          <w:sz w:val="28"/>
          <w:szCs w:val="28"/>
        </w:rPr>
        <w:t>）使用通过受让或租借等方式获取资格、资质证书的；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2</w:t>
      </w:r>
      <w:r>
        <w:rPr>
          <w:rFonts w:hint="eastAsia" w:ascii="宋体" w:hAnsi="宋体" w:cs="仿宋"/>
          <w:sz w:val="28"/>
          <w:szCs w:val="28"/>
        </w:rPr>
        <w:t>）使用伪造证书、证件或印章的；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3</w:t>
      </w:r>
      <w:r>
        <w:rPr>
          <w:rFonts w:hint="eastAsia" w:ascii="宋体" w:hAnsi="宋体" w:cs="仿宋"/>
          <w:sz w:val="28"/>
          <w:szCs w:val="28"/>
        </w:rPr>
        <w:t>）提供虚假财务状况、检测报告、业绩或发票的；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4</w:t>
      </w:r>
      <w:r>
        <w:rPr>
          <w:rFonts w:hint="eastAsia" w:ascii="宋体" w:hAnsi="宋体" w:cs="仿宋"/>
          <w:sz w:val="28"/>
          <w:szCs w:val="28"/>
        </w:rPr>
        <w:t>）提供虚假项目负责人或主要技术人员简历、劳动关系证明的；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5</w:t>
      </w:r>
      <w:r>
        <w:rPr>
          <w:rFonts w:hint="eastAsia" w:ascii="宋体" w:hAnsi="宋体" w:cs="仿宋"/>
          <w:sz w:val="28"/>
          <w:szCs w:val="28"/>
        </w:rPr>
        <w:t>）提供虚假信用状况的；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6</w:t>
      </w:r>
      <w:r>
        <w:rPr>
          <w:rFonts w:hint="eastAsia" w:ascii="宋体" w:hAnsi="宋体" w:cs="仿宋"/>
          <w:sz w:val="28"/>
          <w:szCs w:val="28"/>
        </w:rPr>
        <w:t>）提供虚假样品或借用、冒用其他报价供应商样品的；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7</w:t>
      </w:r>
      <w:r>
        <w:rPr>
          <w:rFonts w:hint="eastAsia" w:ascii="宋体" w:hAnsi="宋体" w:cs="仿宋"/>
          <w:sz w:val="28"/>
          <w:szCs w:val="28"/>
        </w:rPr>
        <w:t>）存在其他弄虚作假行为的；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8</w:t>
      </w:r>
      <w:r>
        <w:rPr>
          <w:rFonts w:hint="eastAsia" w:ascii="宋体" w:hAnsi="宋体" w:cs="仿宋"/>
          <w:sz w:val="28"/>
          <w:szCs w:val="28"/>
        </w:rPr>
        <w:t>）国家和</w:t>
      </w:r>
      <w:r>
        <w:rPr>
          <w:rFonts w:ascii="宋体" w:hAnsi="宋体" w:cs="仿宋"/>
          <w:sz w:val="28"/>
          <w:szCs w:val="28"/>
        </w:rPr>
        <w:t>军队法律法规规定的其他情形。</w:t>
      </w:r>
    </w:p>
    <w:p>
      <w:pPr>
        <w:spacing w:line="560" w:lineRule="exact"/>
        <w:ind w:firstLine="560" w:firstLineChars="200"/>
        <w:rPr>
          <w:rFonts w:ascii="宋体" w:hAnsi="宋体"/>
          <w:sz w:val="28"/>
          <w:szCs w:val="28"/>
        </w:rPr>
      </w:pPr>
      <w:r>
        <w:rPr>
          <w:rFonts w:hint="eastAsia" w:ascii="宋体" w:hAnsi="宋体"/>
          <w:sz w:val="28"/>
          <w:szCs w:val="28"/>
        </w:rPr>
        <w:t>3</w:t>
      </w:r>
      <w:r>
        <w:rPr>
          <w:rFonts w:ascii="宋体" w:hAnsi="宋体"/>
          <w:sz w:val="28"/>
          <w:szCs w:val="28"/>
        </w:rPr>
        <w:t>7</w:t>
      </w:r>
      <w:r>
        <w:rPr>
          <w:rFonts w:hint="eastAsia" w:ascii="宋体" w:hAnsi="宋体"/>
          <w:sz w:val="28"/>
          <w:szCs w:val="28"/>
        </w:rPr>
        <w:t>.7谈判文件中明确的其他应当视为无效报价的情形。</w:t>
      </w:r>
    </w:p>
    <w:p>
      <w:pPr>
        <w:pStyle w:val="6"/>
        <w:keepNext w:val="0"/>
        <w:keepLines w:val="0"/>
        <w:adjustRightInd w:val="0"/>
        <w:snapToGrid w:val="0"/>
        <w:spacing w:before="0" w:after="0" w:line="560" w:lineRule="exact"/>
        <w:ind w:firstLine="560" w:firstLineChars="200"/>
        <w:rPr>
          <w:rFonts w:ascii="黑体" w:hAnsi="黑体"/>
          <w:b w:val="0"/>
        </w:rPr>
      </w:pPr>
      <w:r>
        <w:rPr>
          <w:rFonts w:ascii="黑体" w:hAnsi="黑体"/>
          <w:b w:val="0"/>
        </w:rPr>
        <w:t>38.</w:t>
      </w:r>
      <w:r>
        <w:rPr>
          <w:rFonts w:hint="eastAsia" w:ascii="黑体" w:hAnsi="黑体"/>
          <w:b w:val="0"/>
        </w:rPr>
        <w:t>通过资格性、符合性审查的特殊情形</w:t>
      </w:r>
    </w:p>
    <w:p>
      <w:pPr>
        <w:pStyle w:val="103"/>
        <w:spacing w:line="560" w:lineRule="exact"/>
        <w:ind w:firstLine="560"/>
        <w:rPr>
          <w:rFonts w:ascii="宋体" w:hAnsi="宋体"/>
          <w:sz w:val="28"/>
          <w:szCs w:val="28"/>
        </w:rPr>
      </w:pPr>
      <w:r>
        <w:rPr>
          <w:rFonts w:ascii="宋体" w:hAnsi="宋体"/>
          <w:sz w:val="28"/>
          <w:szCs w:val="28"/>
        </w:rPr>
        <w:t>38.1</w:t>
      </w:r>
      <w:r>
        <w:rPr>
          <w:rFonts w:hint="eastAsia" w:ascii="宋体" w:hAnsi="宋体"/>
          <w:sz w:val="28"/>
          <w:szCs w:val="28"/>
        </w:rPr>
        <w:t>报价文件有下列情形，但其他方面符合要求，应当认定通过资格性、符合性审查：</w:t>
      </w:r>
    </w:p>
    <w:p>
      <w:pPr>
        <w:pStyle w:val="103"/>
        <w:spacing w:line="560" w:lineRule="exact"/>
        <w:ind w:firstLine="560"/>
        <w:rPr>
          <w:rFonts w:ascii="宋体" w:hAnsi="宋体"/>
          <w:sz w:val="28"/>
          <w:szCs w:val="28"/>
        </w:rPr>
      </w:pPr>
      <w:r>
        <w:rPr>
          <w:rFonts w:hint="eastAsia" w:ascii="宋体" w:hAnsi="宋体"/>
          <w:sz w:val="28"/>
          <w:szCs w:val="28"/>
        </w:rPr>
        <w:t>（1）密封时未加盖、少加盖公章或密封章，但密封完好、完整标明了报价供应商名称且得到报价供应商现场认可的；</w:t>
      </w:r>
    </w:p>
    <w:p>
      <w:pPr>
        <w:spacing w:line="560" w:lineRule="exact"/>
        <w:ind w:firstLine="560" w:firstLineChars="200"/>
        <w:rPr>
          <w:rFonts w:ascii="宋体" w:hAnsi="宋体"/>
          <w:sz w:val="28"/>
          <w:szCs w:val="28"/>
        </w:rPr>
      </w:pPr>
      <w:r>
        <w:rPr>
          <w:rFonts w:hint="eastAsia" w:ascii="宋体" w:hAnsi="宋体"/>
          <w:sz w:val="28"/>
          <w:szCs w:val="28"/>
        </w:rPr>
        <w:t>（2）正副本数量齐全、密封完好，但未按照谈判文件要求进行分装或统装的；</w:t>
      </w:r>
    </w:p>
    <w:p>
      <w:pPr>
        <w:spacing w:line="560" w:lineRule="exact"/>
        <w:ind w:firstLine="560" w:firstLineChars="200"/>
        <w:rPr>
          <w:rFonts w:ascii="宋体" w:hAnsi="宋体"/>
          <w:sz w:val="28"/>
          <w:szCs w:val="28"/>
        </w:rPr>
      </w:pPr>
      <w:r>
        <w:rPr>
          <w:rFonts w:hint="eastAsia" w:ascii="宋体" w:hAnsi="宋体"/>
          <w:sz w:val="28"/>
          <w:szCs w:val="28"/>
        </w:rPr>
        <w:t>（3）除谈判文件规定要求法定代表人或授权代表签字以外，其他未签字的；</w:t>
      </w:r>
    </w:p>
    <w:p>
      <w:pPr>
        <w:spacing w:line="560" w:lineRule="exact"/>
        <w:ind w:firstLine="560" w:firstLineChars="200"/>
        <w:rPr>
          <w:rFonts w:ascii="宋体" w:hAnsi="宋体"/>
          <w:sz w:val="28"/>
          <w:szCs w:val="28"/>
        </w:rPr>
      </w:pPr>
      <w:r>
        <w:rPr>
          <w:rFonts w:hint="eastAsia" w:ascii="宋体" w:hAnsi="宋体"/>
          <w:sz w:val="28"/>
          <w:szCs w:val="28"/>
        </w:rPr>
        <w:t>（4）除谈判文件规定要求加盖报价供应商等公章以外，其他未盖章或加盖相关专用章的；</w:t>
      </w:r>
    </w:p>
    <w:p>
      <w:pPr>
        <w:spacing w:line="560" w:lineRule="exact"/>
        <w:ind w:firstLine="560" w:firstLineChars="200"/>
        <w:rPr>
          <w:rFonts w:ascii="宋体" w:hAnsi="宋体"/>
          <w:sz w:val="28"/>
          <w:szCs w:val="28"/>
        </w:rPr>
      </w:pPr>
      <w:r>
        <w:rPr>
          <w:rFonts w:hint="eastAsia" w:ascii="宋体" w:hAnsi="宋体"/>
          <w:sz w:val="28"/>
          <w:szCs w:val="28"/>
        </w:rPr>
        <w:t>（5）报价文件印刷装订不规范、书写有错误，资格证明文件与报价文件混装，报价文件未标明正副本但能分辨出报价文件主体的。</w:t>
      </w:r>
    </w:p>
    <w:p>
      <w:pPr>
        <w:pStyle w:val="103"/>
        <w:spacing w:line="560" w:lineRule="exact"/>
        <w:ind w:firstLine="560"/>
        <w:rPr>
          <w:rFonts w:ascii="宋体" w:hAnsi="宋体"/>
          <w:sz w:val="28"/>
          <w:szCs w:val="28"/>
        </w:rPr>
      </w:pPr>
      <w:r>
        <w:rPr>
          <w:rFonts w:hint="eastAsia" w:ascii="宋体" w:hAnsi="宋体"/>
          <w:sz w:val="28"/>
          <w:szCs w:val="28"/>
        </w:rPr>
        <w:t>评审委员会、采购机构不得将谈判文件未明确的内容作为判定报价供应商无效报价的依据，但违反国家和</w:t>
      </w:r>
      <w:r>
        <w:rPr>
          <w:rFonts w:ascii="宋体" w:hAnsi="宋体"/>
          <w:sz w:val="28"/>
          <w:szCs w:val="28"/>
        </w:rPr>
        <w:t>军队</w:t>
      </w:r>
      <w:r>
        <w:rPr>
          <w:rFonts w:hint="eastAsia" w:ascii="宋体" w:hAnsi="宋体"/>
          <w:sz w:val="28"/>
          <w:szCs w:val="28"/>
        </w:rPr>
        <w:t>有关法律法规规定的情形除外。</w:t>
      </w:r>
    </w:p>
    <w:p>
      <w:pPr>
        <w:pStyle w:val="6"/>
        <w:keepNext w:val="0"/>
        <w:keepLines w:val="0"/>
        <w:adjustRightInd w:val="0"/>
        <w:snapToGrid w:val="0"/>
        <w:spacing w:before="0" w:after="0" w:line="560" w:lineRule="exact"/>
        <w:ind w:firstLine="560" w:firstLineChars="200"/>
        <w:rPr>
          <w:rFonts w:ascii="黑体" w:hAnsi="黑体"/>
          <w:b w:val="0"/>
        </w:rPr>
      </w:pPr>
      <w:r>
        <w:rPr>
          <w:rFonts w:ascii="黑体" w:hAnsi="黑体"/>
          <w:b w:val="0"/>
        </w:rPr>
        <w:t>39.</w:t>
      </w:r>
      <w:r>
        <w:rPr>
          <w:rFonts w:hint="eastAsia" w:ascii="黑体" w:hAnsi="黑体"/>
          <w:b w:val="0"/>
        </w:rPr>
        <w:t>终止竞争性谈判采购活动</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39.1有下列情形之一的，</w:t>
      </w:r>
      <w:r>
        <w:rPr>
          <w:rFonts w:hint="eastAsia" w:ascii="宋体" w:hAnsi="宋体"/>
          <w:bCs/>
          <w:sz w:val="28"/>
          <w:szCs w:val="28"/>
        </w:rPr>
        <w:t>应当终止竞争性谈判采购活动</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报名参加或实质性响应报价供应商不足</w:t>
      </w:r>
      <w:r>
        <w:rPr>
          <w:rFonts w:ascii="宋体" w:hAnsi="宋体"/>
          <w:bCs/>
          <w:sz w:val="28"/>
          <w:szCs w:val="28"/>
        </w:rPr>
        <w:t>3家</w:t>
      </w:r>
      <w:r>
        <w:rPr>
          <w:rFonts w:hint="eastAsia" w:ascii="宋体" w:hAnsi="宋体"/>
          <w:bCs/>
          <w:sz w:val="28"/>
          <w:szCs w:val="28"/>
        </w:rPr>
        <w:t>的</w:t>
      </w:r>
      <w:r>
        <w:rPr>
          <w:rFonts w:ascii="宋体" w:hAnsi="宋体"/>
          <w:bCs/>
          <w:sz w:val="28"/>
          <w:szCs w:val="28"/>
        </w:rPr>
        <w:t>，</w:t>
      </w:r>
      <w:r>
        <w:rPr>
          <w:rFonts w:hint="eastAsia" w:ascii="宋体" w:hAnsi="宋体"/>
          <w:bCs/>
          <w:sz w:val="28"/>
          <w:szCs w:val="28"/>
        </w:rPr>
        <w:t>符合本章第</w:t>
      </w:r>
      <w:r>
        <w:rPr>
          <w:rFonts w:ascii="宋体" w:hAnsi="宋体"/>
          <w:bCs/>
          <w:sz w:val="28"/>
          <w:szCs w:val="28"/>
        </w:rPr>
        <w:t>41.1</w:t>
      </w:r>
      <w:r>
        <w:rPr>
          <w:rFonts w:hint="eastAsia" w:ascii="宋体" w:hAnsi="宋体"/>
          <w:bCs/>
          <w:sz w:val="28"/>
          <w:szCs w:val="28"/>
        </w:rPr>
        <w:t>条情形的除外；</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2）出现影响采购公平公正的违法、违规行为的；</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3）因重大变故，取消采购任务的</w:t>
      </w:r>
      <w:r>
        <w:rPr>
          <w:rFonts w:hint="eastAsia" w:ascii="宋体" w:hAnsi="宋体"/>
          <w:bCs/>
          <w:sz w:val="28"/>
          <w:szCs w:val="28"/>
        </w:rPr>
        <w:t>。</w:t>
      </w:r>
    </w:p>
    <w:p>
      <w:pPr>
        <w:pStyle w:val="6"/>
        <w:keepNext w:val="0"/>
        <w:keepLines w:val="0"/>
        <w:adjustRightInd w:val="0"/>
        <w:snapToGrid w:val="0"/>
        <w:spacing w:before="0" w:after="0" w:line="560" w:lineRule="exact"/>
        <w:ind w:firstLine="560" w:firstLineChars="200"/>
        <w:rPr>
          <w:rFonts w:ascii="黑体" w:hAnsi="黑体"/>
          <w:b w:val="0"/>
        </w:rPr>
      </w:pPr>
      <w:bookmarkStart w:id="248" w:name="_Toc121216120"/>
      <w:bookmarkStart w:id="249" w:name="_Toc29718"/>
      <w:bookmarkStart w:id="250" w:name="_Toc28683"/>
      <w:bookmarkStart w:id="251" w:name="_Toc21189"/>
      <w:bookmarkStart w:id="252" w:name="_Toc15536"/>
      <w:r>
        <w:rPr>
          <w:rFonts w:ascii="黑体" w:hAnsi="黑体"/>
          <w:b w:val="0"/>
        </w:rPr>
        <w:t>40.</w:t>
      </w:r>
      <w:r>
        <w:rPr>
          <w:rFonts w:hint="eastAsia" w:ascii="黑体" w:hAnsi="黑体"/>
          <w:b w:val="0"/>
        </w:rPr>
        <w:t>终止评审</w:t>
      </w:r>
      <w:bookmarkEnd w:id="248"/>
      <w:bookmarkEnd w:id="249"/>
      <w:bookmarkEnd w:id="250"/>
      <w:bookmarkEnd w:id="251"/>
      <w:bookmarkEnd w:id="252"/>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40.1</w:t>
      </w:r>
      <w:r>
        <w:rPr>
          <w:rFonts w:hint="eastAsia" w:ascii="仿宋_GB2312" w:hAnsi="仿宋"/>
          <w:bCs/>
          <w:sz w:val="28"/>
          <w:szCs w:val="28"/>
        </w:rPr>
        <w:t>在评审过程中，有下列情形之一的，评审委员会应当终止评审，并书面说明情况：</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1）</w:t>
      </w:r>
      <w:r>
        <w:rPr>
          <w:rFonts w:hint="eastAsia" w:ascii="仿宋_GB2312" w:hAnsi="仿宋" w:cs="仿宋"/>
          <w:bCs/>
          <w:sz w:val="28"/>
          <w:szCs w:val="28"/>
        </w:rPr>
        <w:t>谈判文件存在重大歧义、缺陷，导致评审工作无法进行的；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2）</w:t>
      </w:r>
      <w:r>
        <w:rPr>
          <w:rFonts w:hint="eastAsia" w:ascii="仿宋_GB2312" w:hAnsi="仿宋" w:cs="仿宋"/>
          <w:bCs/>
          <w:sz w:val="28"/>
          <w:szCs w:val="28"/>
        </w:rPr>
        <w:t>谈判文件存在明显的倾向性、排他性或歧视性的；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3）</w:t>
      </w:r>
      <w:r>
        <w:rPr>
          <w:rFonts w:hint="eastAsia" w:ascii="仿宋_GB2312" w:hAnsi="仿宋" w:cs="仿宋"/>
          <w:bCs/>
          <w:sz w:val="28"/>
          <w:szCs w:val="28"/>
        </w:rPr>
        <w:t>谈判文件违反国家和军队强制性规定的；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4）</w:t>
      </w:r>
      <w:r>
        <w:rPr>
          <w:rFonts w:hint="eastAsia" w:ascii="仿宋_GB2312" w:hAnsi="仿宋" w:cs="仿宋"/>
          <w:bCs/>
          <w:sz w:val="28"/>
          <w:szCs w:val="28"/>
        </w:rPr>
        <w:t>参加报价供应商均不符合相关要求的；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5）</w:t>
      </w:r>
      <w:r>
        <w:rPr>
          <w:rFonts w:hint="eastAsia" w:ascii="仿宋_GB2312" w:hAnsi="仿宋" w:cs="仿宋"/>
          <w:bCs/>
          <w:sz w:val="28"/>
          <w:szCs w:val="28"/>
        </w:rPr>
        <w:t>报价供应商报价均超预算，且采购单位无法追加预算的；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6）</w:t>
      </w:r>
      <w:r>
        <w:rPr>
          <w:rFonts w:hint="eastAsia" w:ascii="仿宋_GB2312" w:hAnsi="仿宋" w:cs="仿宋"/>
          <w:bCs/>
          <w:sz w:val="28"/>
          <w:szCs w:val="28"/>
        </w:rPr>
        <w:t>有关报价供应商和个人干预评审委员会依法独立评审的；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7）</w:t>
      </w:r>
      <w:r>
        <w:rPr>
          <w:rFonts w:hint="eastAsia" w:ascii="仿宋_GB2312" w:hAnsi="仿宋" w:cs="仿宋"/>
          <w:bCs/>
          <w:sz w:val="28"/>
          <w:szCs w:val="28"/>
        </w:rPr>
        <w:t>采购活动中出现违法、违规情形的；</w:t>
      </w:r>
    </w:p>
    <w:p>
      <w:pPr>
        <w:tabs>
          <w:tab w:val="left" w:pos="0"/>
        </w:tabs>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8）</w:t>
      </w:r>
      <w:r>
        <w:rPr>
          <w:rFonts w:hint="eastAsia" w:ascii="仿宋_GB2312" w:hAnsi="仿宋" w:cs="仿宋"/>
          <w:bCs/>
          <w:sz w:val="28"/>
          <w:szCs w:val="28"/>
        </w:rPr>
        <w:t>国家和军队法律法规规定的其他情形。</w:t>
      </w:r>
    </w:p>
    <w:bookmarkEnd w:id="232"/>
    <w:bookmarkEnd w:id="233"/>
    <w:bookmarkEnd w:id="234"/>
    <w:bookmarkEnd w:id="235"/>
    <w:bookmarkEnd w:id="236"/>
    <w:bookmarkEnd w:id="237"/>
    <w:p>
      <w:pPr>
        <w:pStyle w:val="6"/>
        <w:keepNext w:val="0"/>
        <w:keepLines w:val="0"/>
        <w:adjustRightInd w:val="0"/>
        <w:snapToGrid w:val="0"/>
        <w:spacing w:before="0" w:after="0" w:line="560" w:lineRule="exact"/>
        <w:ind w:firstLine="560" w:firstLineChars="200"/>
        <w:rPr>
          <w:rFonts w:ascii="黑体" w:hAnsi="黑体"/>
          <w:b w:val="0"/>
        </w:rPr>
      </w:pPr>
      <w:bookmarkStart w:id="253" w:name="_Toc28022"/>
      <w:bookmarkStart w:id="254" w:name="_Toc24729"/>
      <w:bookmarkStart w:id="255" w:name="_Toc5728"/>
      <w:bookmarkStart w:id="256" w:name="_Toc112768420"/>
      <w:bookmarkStart w:id="257" w:name="_Toc27475"/>
      <w:bookmarkStart w:id="258" w:name="_Toc18007"/>
      <w:r>
        <w:rPr>
          <w:rFonts w:ascii="黑体" w:hAnsi="黑体"/>
          <w:b w:val="0"/>
        </w:rPr>
        <w:t>41.</w:t>
      </w:r>
      <w:bookmarkStart w:id="259" w:name="_Hlk112698157"/>
      <w:r>
        <w:rPr>
          <w:rFonts w:hint="eastAsia" w:ascii="黑体" w:hAnsi="黑体"/>
          <w:b w:val="0"/>
        </w:rPr>
        <w:t>特殊情形的</w:t>
      </w:r>
      <w:bookmarkEnd w:id="259"/>
      <w:r>
        <w:rPr>
          <w:rFonts w:hint="eastAsia" w:ascii="黑体" w:hAnsi="黑体"/>
          <w:b w:val="0"/>
        </w:rPr>
        <w:t>处理规定</w:t>
      </w:r>
      <w:bookmarkEnd w:id="253"/>
      <w:bookmarkEnd w:id="254"/>
      <w:bookmarkEnd w:id="255"/>
      <w:bookmarkEnd w:id="256"/>
      <w:bookmarkEnd w:id="257"/>
      <w:bookmarkEnd w:id="258"/>
    </w:p>
    <w:p>
      <w:pPr>
        <w:tabs>
          <w:tab w:val="left" w:pos="1020"/>
        </w:tabs>
        <w:adjustRightInd w:val="0"/>
        <w:snapToGrid w:val="0"/>
        <w:spacing w:line="560" w:lineRule="exact"/>
        <w:ind w:firstLine="560" w:firstLineChars="200"/>
        <w:rPr>
          <w:rFonts w:ascii="宋体" w:hAnsi="宋体"/>
          <w:bCs/>
          <w:sz w:val="28"/>
          <w:szCs w:val="28"/>
        </w:rPr>
      </w:pPr>
      <w:r>
        <w:rPr>
          <w:rFonts w:ascii="宋体" w:hAnsi="宋体"/>
          <w:bCs/>
          <w:sz w:val="28"/>
          <w:szCs w:val="28"/>
        </w:rPr>
        <w:t>41.1</w:t>
      </w:r>
      <w:r>
        <w:rPr>
          <w:rFonts w:hint="eastAsia" w:ascii="宋体" w:hAnsi="宋体"/>
          <w:bCs/>
          <w:sz w:val="28"/>
          <w:szCs w:val="28"/>
        </w:rPr>
        <w:t>报价供应商或通过资格性、符合性审查的报价供应商只有</w:t>
      </w:r>
      <w:r>
        <w:rPr>
          <w:rFonts w:ascii="宋体" w:hAnsi="宋体"/>
          <w:bCs/>
          <w:sz w:val="28"/>
          <w:szCs w:val="28"/>
        </w:rPr>
        <w:t>2家且预算500万元以下项目，或重新组织采购仍只有2家</w:t>
      </w:r>
      <w:r>
        <w:rPr>
          <w:rFonts w:hint="eastAsia" w:ascii="宋体" w:hAnsi="宋体"/>
          <w:bCs/>
          <w:sz w:val="28"/>
          <w:szCs w:val="28"/>
        </w:rPr>
        <w:t>报价</w:t>
      </w:r>
      <w:r>
        <w:rPr>
          <w:rFonts w:ascii="宋体" w:hAnsi="宋体"/>
          <w:bCs/>
          <w:sz w:val="28"/>
          <w:szCs w:val="28"/>
        </w:rPr>
        <w:t>供应商</w:t>
      </w:r>
      <w:r>
        <w:rPr>
          <w:rFonts w:hint="eastAsia" w:ascii="宋体" w:hAnsi="宋体"/>
          <w:bCs/>
          <w:sz w:val="28"/>
          <w:szCs w:val="28"/>
        </w:rPr>
        <w:t>响应的项目，评审委员会认为谈判文件无倾向性或排他性条款，供应商选择程序合规的，由采购机构报上级采购管理部门批准，并经采购单位同意后，按照原评审方法和评审标准继续组织评审。</w:t>
      </w:r>
    </w:p>
    <w:p>
      <w:pPr>
        <w:tabs>
          <w:tab w:val="left" w:pos="1020"/>
        </w:tabs>
        <w:adjustRightInd w:val="0"/>
        <w:snapToGrid w:val="0"/>
        <w:spacing w:line="560" w:lineRule="exact"/>
        <w:ind w:firstLine="560" w:firstLineChars="200"/>
        <w:rPr>
          <w:rFonts w:ascii="仿宋_GB2312" w:hAnsi="宋体" w:cs="宋体"/>
          <w:bCs/>
          <w:sz w:val="28"/>
          <w:szCs w:val="36"/>
        </w:rPr>
      </w:pPr>
      <w:r>
        <w:rPr>
          <w:rFonts w:ascii="宋体" w:hAnsi="宋体"/>
          <w:bCs/>
          <w:sz w:val="28"/>
          <w:szCs w:val="28"/>
        </w:rPr>
        <w:t>41.2</w:t>
      </w:r>
      <w:r>
        <w:rPr>
          <w:rFonts w:hint="eastAsia" w:asciiTheme="minorEastAsia" w:hAnsiTheme="minorEastAsia" w:eastAsiaTheme="minorEastAsia"/>
          <w:bCs/>
          <w:sz w:val="28"/>
          <w:szCs w:val="28"/>
        </w:rPr>
        <w:t>按照</w:t>
      </w:r>
      <w:r>
        <w:rPr>
          <w:rFonts w:asciiTheme="minorEastAsia" w:hAnsiTheme="minorEastAsia" w:eastAsiaTheme="minorEastAsia"/>
          <w:bCs/>
          <w:sz w:val="28"/>
          <w:szCs w:val="28"/>
        </w:rPr>
        <w:t>41.1</w:t>
      </w:r>
      <w:r>
        <w:rPr>
          <w:rFonts w:hint="eastAsia" w:asciiTheme="minorEastAsia" w:hAnsiTheme="minorEastAsia" w:eastAsiaTheme="minorEastAsia"/>
          <w:bCs/>
          <w:sz w:val="28"/>
          <w:szCs w:val="28"/>
        </w:rPr>
        <w:t>条</w:t>
      </w:r>
      <w:r>
        <w:rPr>
          <w:rFonts w:asciiTheme="minorEastAsia" w:hAnsiTheme="minorEastAsia" w:eastAsiaTheme="minorEastAsia"/>
          <w:bCs/>
          <w:sz w:val="28"/>
          <w:szCs w:val="28"/>
        </w:rPr>
        <w:t>程序组织的项目，评审委员会或采购机构认为存在价格虚高风险的，可以提出审价方式定价结算</w:t>
      </w:r>
      <w:r>
        <w:rPr>
          <w:rFonts w:hint="eastAsia" w:asciiTheme="minorEastAsia" w:hAnsiTheme="minorEastAsia" w:eastAsiaTheme="minorEastAsia"/>
          <w:bCs/>
          <w:sz w:val="28"/>
          <w:szCs w:val="28"/>
        </w:rPr>
        <w:t>。</w:t>
      </w:r>
    </w:p>
    <w:p>
      <w:pPr>
        <w:pStyle w:val="5"/>
        <w:keepNext w:val="0"/>
        <w:keepLines w:val="0"/>
        <w:adjustRightInd w:val="0"/>
        <w:snapToGrid w:val="0"/>
        <w:spacing w:before="120" w:beforeLines="50" w:after="120" w:afterLines="50" w:line="560" w:lineRule="exact"/>
        <w:jc w:val="center"/>
        <w:rPr>
          <w:b w:val="0"/>
        </w:rPr>
      </w:pPr>
      <w:bookmarkStart w:id="260" w:name="_Toc20643"/>
      <w:r>
        <w:rPr>
          <w:rFonts w:hint="eastAsia"/>
          <w:b w:val="0"/>
        </w:rPr>
        <w:t>六、成交</w:t>
      </w:r>
      <w:bookmarkEnd w:id="260"/>
    </w:p>
    <w:p>
      <w:pPr>
        <w:pStyle w:val="6"/>
        <w:keepNext w:val="0"/>
        <w:keepLines w:val="0"/>
        <w:adjustRightInd w:val="0"/>
        <w:snapToGrid w:val="0"/>
        <w:spacing w:before="0" w:after="0" w:line="560" w:lineRule="exact"/>
        <w:ind w:firstLine="560" w:firstLineChars="200"/>
        <w:rPr>
          <w:rFonts w:ascii="黑体" w:hAnsi="黑体"/>
          <w:b w:val="0"/>
        </w:rPr>
      </w:pPr>
      <w:bookmarkStart w:id="261" w:name="_Toc3866"/>
      <w:bookmarkStart w:id="262" w:name="_Toc12975"/>
      <w:bookmarkStart w:id="263" w:name="_Toc112768426"/>
      <w:bookmarkStart w:id="264" w:name="_Toc8158"/>
      <w:bookmarkStart w:id="265" w:name="_Toc3301"/>
      <w:bookmarkStart w:id="266" w:name="_Toc26950"/>
      <w:r>
        <w:rPr>
          <w:rFonts w:ascii="黑体" w:hAnsi="黑体"/>
          <w:b w:val="0"/>
        </w:rPr>
        <w:t>42.</w:t>
      </w:r>
      <w:r>
        <w:rPr>
          <w:rFonts w:hint="eastAsia" w:ascii="黑体" w:hAnsi="黑体"/>
          <w:b w:val="0"/>
        </w:rPr>
        <w:t>成交供应商公示</w:t>
      </w:r>
      <w:bookmarkEnd w:id="261"/>
      <w:bookmarkEnd w:id="262"/>
      <w:bookmarkEnd w:id="263"/>
      <w:bookmarkEnd w:id="264"/>
      <w:bookmarkEnd w:id="265"/>
      <w:bookmarkEnd w:id="266"/>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42.1评审结束后2个工作日内，采购机构在军队采购网（</w:t>
      </w:r>
      <w:r>
        <w:rPr>
          <w:rFonts w:hint="eastAsia" w:ascii="宋体" w:hAnsi="宋体"/>
          <w:bCs/>
          <w:sz w:val="28"/>
          <w:szCs w:val="28"/>
        </w:rPr>
        <w:t>www.plap.mil.cn</w:t>
      </w:r>
      <w:r>
        <w:rPr>
          <w:rFonts w:ascii="宋体" w:hAnsi="宋体"/>
          <w:bCs/>
          <w:sz w:val="28"/>
          <w:szCs w:val="28"/>
        </w:rPr>
        <w:t>）</w:t>
      </w:r>
      <w:r>
        <w:rPr>
          <w:rFonts w:hint="eastAsia" w:ascii="宋体" w:hAnsi="宋体"/>
          <w:bCs/>
          <w:sz w:val="28"/>
          <w:szCs w:val="28"/>
          <w:lang w:eastAsia="zh-CN"/>
        </w:rPr>
        <w:t>、中国政府采购网（http://www.ccgp.gov.cn/）、医院官网（https://www.xqhospital.com.cn/）</w:t>
      </w:r>
      <w:r>
        <w:rPr>
          <w:rFonts w:ascii="宋体" w:hAnsi="宋体"/>
          <w:bCs/>
          <w:sz w:val="28"/>
          <w:szCs w:val="28"/>
        </w:rPr>
        <w:t>上公示评审结果，公示期</w:t>
      </w:r>
      <w:r>
        <w:rPr>
          <w:rFonts w:hint="eastAsia" w:ascii="宋体" w:hAnsi="宋体"/>
          <w:bCs/>
          <w:sz w:val="28"/>
          <w:szCs w:val="28"/>
        </w:rPr>
        <w:t>不少于</w:t>
      </w:r>
      <w:r>
        <w:rPr>
          <w:rFonts w:ascii="宋体" w:hAnsi="宋体"/>
          <w:bCs/>
          <w:sz w:val="28"/>
          <w:szCs w:val="28"/>
        </w:rPr>
        <w:t>3个工作日。在公示期内无异议的，</w:t>
      </w:r>
      <w:r>
        <w:rPr>
          <w:rFonts w:hint="eastAsia" w:ascii="宋体" w:hAnsi="宋体"/>
          <w:bCs/>
          <w:sz w:val="28"/>
          <w:szCs w:val="28"/>
        </w:rPr>
        <w:t>采购机构将评审结果报采购单位；有异议的，报价供应商可以依据谈判文件规定的方式提出质疑。</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42.2</w:t>
      </w:r>
      <w:r>
        <w:rPr>
          <w:rFonts w:hint="eastAsia" w:ascii="宋体" w:hAnsi="宋体"/>
          <w:bCs/>
          <w:sz w:val="28"/>
          <w:szCs w:val="28"/>
        </w:rPr>
        <w:t>成交</w:t>
      </w:r>
      <w:r>
        <w:rPr>
          <w:rFonts w:ascii="宋体" w:hAnsi="宋体"/>
          <w:bCs/>
          <w:sz w:val="28"/>
          <w:szCs w:val="28"/>
        </w:rPr>
        <w:t>供应商无正当理由放弃成交的，不予退还谈判保证金，</w:t>
      </w:r>
      <w:r>
        <w:rPr>
          <w:rFonts w:hint="eastAsia" w:ascii="宋体" w:hAnsi="宋体"/>
          <w:bCs/>
          <w:sz w:val="28"/>
          <w:szCs w:val="28"/>
        </w:rPr>
        <w:t>由采购管理部门依规处理。</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42.3成交供应商出现下列情况之一的，一经查实，将被取消成交资格：</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 xml:space="preserve">（1）属于谈判文件规定的虚假报价的； </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（2）向采购单位、采购机构、评审委员会成员行贿或进行其他不正当利益输送的；</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（3）属于恶意低价竞争，报价明显低于合理成本且不能证明其报价合理的；</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（4）属于谈判文件规定的无效报价情形，但在评审过程中未被评审委员会发现的；</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（5）属于谈判文件规定的串通报价的；</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（6）出现干扰或影响评审客观公正行为的；</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（7）存在其他违法违规行为的；</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（8）国家和军队法律法规规定的其他情形。</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成交供应商在签订正式合同前，受到禁止参加军队采购活动处罚且本项目在处罚范围内的，取消成交资格。成交供应商被取消或放弃成交资格的，采购单位可以按照评审排名结果依次递补确定成交供应商，但剩余有效报价供应商数量应当达到需要递补报价供应商数量的2倍，否则由采购机构重新组织采购。</w:t>
      </w:r>
    </w:p>
    <w:p>
      <w:pPr>
        <w:pStyle w:val="6"/>
        <w:keepNext w:val="0"/>
        <w:keepLines w:val="0"/>
        <w:adjustRightInd w:val="0"/>
        <w:snapToGrid w:val="0"/>
        <w:spacing w:before="0" w:after="0" w:line="560" w:lineRule="exact"/>
        <w:ind w:firstLine="560" w:firstLineChars="200"/>
        <w:rPr>
          <w:rFonts w:ascii="黑体" w:hAnsi="黑体"/>
          <w:b w:val="0"/>
        </w:rPr>
      </w:pPr>
      <w:bookmarkStart w:id="267" w:name="_Toc22523"/>
      <w:bookmarkStart w:id="268" w:name="_Toc15845"/>
      <w:bookmarkStart w:id="269" w:name="_Toc5791"/>
      <w:bookmarkStart w:id="270" w:name="_Toc13364"/>
      <w:bookmarkStart w:id="271" w:name="_Toc21704"/>
      <w:bookmarkStart w:id="272" w:name="_Toc112768427"/>
      <w:r>
        <w:rPr>
          <w:rFonts w:ascii="黑体" w:hAnsi="黑体"/>
          <w:b w:val="0"/>
        </w:rPr>
        <w:t>43.</w:t>
      </w:r>
      <w:r>
        <w:rPr>
          <w:rFonts w:hint="eastAsia" w:ascii="黑体" w:hAnsi="黑体"/>
          <w:b w:val="0"/>
        </w:rPr>
        <w:t>成交通知</w:t>
      </w:r>
      <w:bookmarkEnd w:id="267"/>
      <w:bookmarkEnd w:id="268"/>
      <w:bookmarkEnd w:id="269"/>
      <w:bookmarkEnd w:id="270"/>
      <w:bookmarkEnd w:id="271"/>
      <w:bookmarkEnd w:id="272"/>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43.1</w:t>
      </w:r>
      <w:r>
        <w:rPr>
          <w:rFonts w:hint="eastAsia" w:ascii="宋体" w:hAnsi="宋体"/>
          <w:bCs/>
          <w:sz w:val="28"/>
          <w:szCs w:val="28"/>
        </w:rPr>
        <w:t>评审结果公示无异议、</w:t>
      </w:r>
      <w:r>
        <w:rPr>
          <w:rFonts w:hint="eastAsia" w:ascii="宋体" w:hAnsi="宋体"/>
          <w:bCs/>
          <w:sz w:val="28"/>
          <w:szCs w:val="28"/>
          <w:lang w:eastAsia="zh-CN"/>
        </w:rPr>
        <w:t>采购</w:t>
      </w:r>
      <w:r>
        <w:rPr>
          <w:rFonts w:hint="eastAsia" w:ascii="宋体" w:hAnsi="宋体"/>
          <w:bCs/>
          <w:sz w:val="28"/>
          <w:szCs w:val="28"/>
        </w:rPr>
        <w:t>人完成价格复核并确定</w:t>
      </w:r>
      <w:r>
        <w:rPr>
          <w:rFonts w:hint="eastAsia" w:ascii="宋体" w:hAnsi="宋体"/>
          <w:bCs/>
          <w:sz w:val="28"/>
          <w:szCs w:val="28"/>
          <w:lang w:eastAsia="zh-CN"/>
        </w:rPr>
        <w:t>成交</w:t>
      </w:r>
      <w:r>
        <w:rPr>
          <w:rFonts w:hint="eastAsia" w:ascii="宋体" w:hAnsi="宋体"/>
          <w:bCs/>
          <w:sz w:val="28"/>
          <w:szCs w:val="28"/>
        </w:rPr>
        <w:t>人后2个工作日内，采购机构以书面形式向</w:t>
      </w:r>
      <w:r>
        <w:rPr>
          <w:rFonts w:hint="eastAsia" w:ascii="宋体" w:hAnsi="宋体"/>
          <w:bCs/>
          <w:sz w:val="28"/>
          <w:szCs w:val="28"/>
          <w:lang w:eastAsia="zh-CN"/>
        </w:rPr>
        <w:t>成交</w:t>
      </w:r>
      <w:r>
        <w:rPr>
          <w:rFonts w:hint="eastAsia" w:ascii="宋体" w:hAnsi="宋体"/>
          <w:bCs/>
          <w:sz w:val="28"/>
          <w:szCs w:val="28"/>
        </w:rPr>
        <w:t>供应商发出《</w:t>
      </w:r>
      <w:r>
        <w:rPr>
          <w:rFonts w:hint="eastAsia" w:ascii="宋体" w:hAnsi="宋体"/>
          <w:bCs/>
          <w:sz w:val="28"/>
          <w:szCs w:val="28"/>
          <w:lang w:eastAsia="zh-CN"/>
        </w:rPr>
        <w:t>成交</w:t>
      </w:r>
      <w:r>
        <w:rPr>
          <w:rFonts w:hint="eastAsia" w:ascii="宋体" w:hAnsi="宋体"/>
          <w:bCs/>
          <w:sz w:val="28"/>
          <w:szCs w:val="28"/>
        </w:rPr>
        <w:t>通知书》，同时向未</w:t>
      </w:r>
      <w:r>
        <w:rPr>
          <w:rFonts w:hint="eastAsia" w:ascii="宋体" w:hAnsi="宋体"/>
          <w:bCs/>
          <w:sz w:val="28"/>
          <w:szCs w:val="28"/>
          <w:lang w:eastAsia="zh-CN"/>
        </w:rPr>
        <w:t>成交</w:t>
      </w:r>
      <w:r>
        <w:rPr>
          <w:rFonts w:hint="eastAsia" w:ascii="宋体" w:hAnsi="宋体"/>
          <w:bCs/>
          <w:sz w:val="28"/>
          <w:szCs w:val="28"/>
        </w:rPr>
        <w:t>供应商发出《未</w:t>
      </w:r>
      <w:r>
        <w:rPr>
          <w:rFonts w:hint="eastAsia" w:ascii="宋体" w:hAnsi="宋体"/>
          <w:bCs/>
          <w:sz w:val="28"/>
          <w:szCs w:val="28"/>
          <w:lang w:eastAsia="zh-CN"/>
        </w:rPr>
        <w:t>成交</w:t>
      </w:r>
      <w:r>
        <w:rPr>
          <w:rFonts w:hint="eastAsia" w:ascii="宋体" w:hAnsi="宋体"/>
          <w:bCs/>
          <w:sz w:val="28"/>
          <w:szCs w:val="28"/>
        </w:rPr>
        <w:t>通知书》。</w:t>
      </w:r>
    </w:p>
    <w:p>
      <w:pPr>
        <w:pStyle w:val="5"/>
        <w:keepNext w:val="0"/>
        <w:keepLines w:val="0"/>
        <w:adjustRightInd w:val="0"/>
        <w:snapToGrid w:val="0"/>
        <w:spacing w:before="120" w:beforeLines="50" w:after="120" w:afterLines="50" w:line="560" w:lineRule="exact"/>
        <w:jc w:val="center"/>
        <w:rPr>
          <w:b w:val="0"/>
        </w:rPr>
      </w:pPr>
      <w:bookmarkStart w:id="273" w:name="_Toc132191228"/>
      <w:bookmarkStart w:id="274" w:name="_Toc10173"/>
      <w:bookmarkStart w:id="275" w:name="_Toc24236"/>
      <w:bookmarkStart w:id="276" w:name="_Toc1745"/>
      <w:bookmarkStart w:id="277" w:name="_Toc112768428"/>
      <w:bookmarkStart w:id="278" w:name="_Toc31814"/>
      <w:bookmarkStart w:id="279" w:name="_Toc15545"/>
      <w:bookmarkStart w:id="280" w:name="_Toc112317774"/>
      <w:bookmarkStart w:id="281" w:name="_Toc1444"/>
      <w:r>
        <w:rPr>
          <w:rFonts w:hint="eastAsia"/>
          <w:b w:val="0"/>
        </w:rPr>
        <w:t>七、质疑、投诉和投诉复议</w:t>
      </w:r>
      <w:bookmarkEnd w:id="273"/>
      <w:bookmarkEnd w:id="274"/>
    </w:p>
    <w:p>
      <w:pPr>
        <w:pStyle w:val="6"/>
        <w:keepNext w:val="0"/>
        <w:keepLines w:val="0"/>
        <w:adjustRightInd w:val="0"/>
        <w:snapToGrid w:val="0"/>
        <w:spacing w:before="0" w:after="0" w:line="560" w:lineRule="exact"/>
        <w:ind w:firstLine="560" w:firstLineChars="200"/>
        <w:rPr>
          <w:rFonts w:ascii="黑体" w:hAnsi="黑体"/>
          <w:b w:val="0"/>
        </w:rPr>
      </w:pPr>
      <w:r>
        <w:rPr>
          <w:rFonts w:ascii="黑体" w:hAnsi="黑体"/>
          <w:b w:val="0"/>
        </w:rPr>
        <w:t>44.</w:t>
      </w:r>
      <w:r>
        <w:rPr>
          <w:rFonts w:hint="eastAsia" w:ascii="黑体" w:hAnsi="黑体"/>
          <w:b w:val="0"/>
        </w:rPr>
        <w:t>质疑</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ascii="宋体" w:hAnsi="宋体"/>
          <w:bCs/>
          <w:sz w:val="28"/>
          <w:szCs w:val="28"/>
        </w:rPr>
        <w:t>44.1供应商认为</w:t>
      </w:r>
      <w:r>
        <w:rPr>
          <w:rFonts w:hint="eastAsia" w:ascii="宋体" w:hAnsi="宋体"/>
          <w:bCs/>
          <w:sz w:val="28"/>
          <w:szCs w:val="28"/>
        </w:rPr>
        <w:t>谈判文件、谈判过程、成交结果使自己权益受到损害的，以书面形式向采购机构提出质疑。供应商应当在规定质疑期内一次性提出针对同一采购程序环节的质疑。</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（1）领取资格预审文件的供应商，对资格预审文件的质疑应当在提交资格预审申请文件截止时间2日前提出。</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领取谈判文件的供应商，</w:t>
      </w:r>
      <w:r>
        <w:rPr>
          <w:rFonts w:ascii="宋体" w:hAnsi="宋体"/>
          <w:bCs/>
          <w:sz w:val="28"/>
          <w:szCs w:val="28"/>
        </w:rPr>
        <w:t>对谈判文件的</w:t>
      </w:r>
      <w:r>
        <w:rPr>
          <w:rFonts w:hint="eastAsia" w:ascii="宋体" w:hAnsi="宋体"/>
          <w:bCs/>
          <w:sz w:val="28"/>
          <w:szCs w:val="28"/>
        </w:rPr>
        <w:t>质疑应当</w:t>
      </w:r>
      <w:r>
        <w:rPr>
          <w:rFonts w:ascii="宋体" w:hAnsi="宋体"/>
          <w:bCs/>
          <w:sz w:val="28"/>
          <w:szCs w:val="28"/>
        </w:rPr>
        <w:t>在</w:t>
      </w:r>
      <w:r>
        <w:rPr>
          <w:rFonts w:hint="eastAsia" w:ascii="宋体" w:hAnsi="宋体"/>
          <w:bCs/>
          <w:sz w:val="28"/>
          <w:szCs w:val="28"/>
        </w:rPr>
        <w:t>申领谈判文件之日起3</w:t>
      </w:r>
      <w:r>
        <w:rPr>
          <w:rFonts w:ascii="宋体" w:hAnsi="宋体"/>
          <w:bCs/>
          <w:sz w:val="28"/>
          <w:szCs w:val="28"/>
        </w:rPr>
        <w:t>个工作日内</w:t>
      </w:r>
      <w:r>
        <w:rPr>
          <w:rFonts w:hint="eastAsia" w:ascii="宋体" w:hAnsi="宋体"/>
          <w:bCs/>
          <w:sz w:val="28"/>
          <w:szCs w:val="28"/>
        </w:rPr>
        <w:t>提出。</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报价供应商</w:t>
      </w:r>
      <w:r>
        <w:rPr>
          <w:rFonts w:ascii="宋体" w:hAnsi="宋体"/>
          <w:bCs/>
          <w:sz w:val="28"/>
          <w:szCs w:val="28"/>
        </w:rPr>
        <w:t>对谈判过程提出质疑的，应当在各采购程序环节结束之日起3日内提出</w:t>
      </w:r>
      <w:r>
        <w:rPr>
          <w:rFonts w:hint="eastAsia" w:ascii="宋体" w:hAnsi="宋体"/>
          <w:bCs/>
          <w:sz w:val="28"/>
          <w:szCs w:val="28"/>
        </w:rPr>
        <w:t>。</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4）</w:t>
      </w:r>
      <w:r>
        <w:rPr>
          <w:rFonts w:hint="eastAsia" w:ascii="宋体" w:hAnsi="宋体"/>
          <w:bCs/>
          <w:sz w:val="28"/>
          <w:szCs w:val="28"/>
        </w:rPr>
        <w:t>报价供应商</w:t>
      </w:r>
      <w:r>
        <w:rPr>
          <w:rFonts w:ascii="宋体" w:hAnsi="宋体"/>
          <w:bCs/>
          <w:sz w:val="28"/>
          <w:szCs w:val="28"/>
        </w:rPr>
        <w:t>对成交结果提出质疑的，应当在成交结果公示期内提出。</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ascii="宋体" w:hAnsi="宋体"/>
          <w:bCs/>
          <w:sz w:val="28"/>
          <w:szCs w:val="28"/>
        </w:rPr>
        <w:t>44.2</w:t>
      </w:r>
      <w:r>
        <w:rPr>
          <w:rFonts w:hint="eastAsia" w:ascii="宋体" w:hAnsi="宋体"/>
          <w:bCs/>
          <w:sz w:val="28"/>
          <w:szCs w:val="28"/>
        </w:rPr>
        <w:t>报价</w:t>
      </w:r>
      <w:r>
        <w:rPr>
          <w:rFonts w:ascii="宋体" w:hAnsi="宋体"/>
          <w:bCs/>
          <w:sz w:val="28"/>
          <w:szCs w:val="28"/>
        </w:rPr>
        <w:t>供应商应当按照</w:t>
      </w:r>
      <w:r>
        <w:rPr>
          <w:rFonts w:hint="eastAsia" w:ascii="宋体" w:hAnsi="宋体"/>
          <w:bCs/>
          <w:sz w:val="28"/>
          <w:szCs w:val="28"/>
        </w:rPr>
        <w:t>谈判文件</w:t>
      </w:r>
      <w:r>
        <w:rPr>
          <w:rFonts w:ascii="宋体" w:hAnsi="宋体"/>
          <w:bCs/>
          <w:sz w:val="28"/>
          <w:szCs w:val="28"/>
        </w:rPr>
        <w:t>规定的程序和渠道</w:t>
      </w:r>
      <w:r>
        <w:rPr>
          <w:rFonts w:hint="eastAsia" w:ascii="宋体" w:hAnsi="宋体"/>
          <w:bCs/>
          <w:sz w:val="28"/>
          <w:szCs w:val="28"/>
        </w:rPr>
        <w:t>提出质疑</w:t>
      </w:r>
      <w:r>
        <w:rPr>
          <w:rFonts w:ascii="宋体" w:hAnsi="宋体"/>
          <w:bCs/>
          <w:sz w:val="28"/>
          <w:szCs w:val="28"/>
        </w:rPr>
        <w:t>，</w:t>
      </w:r>
      <w:r>
        <w:rPr>
          <w:rFonts w:hint="eastAsia" w:ascii="宋体" w:hAnsi="宋体"/>
          <w:bCs/>
          <w:sz w:val="28"/>
          <w:szCs w:val="28"/>
        </w:rPr>
        <w:t>质疑函</w:t>
      </w:r>
      <w:r>
        <w:rPr>
          <w:rFonts w:ascii="宋体" w:hAnsi="宋体"/>
          <w:bCs/>
          <w:sz w:val="28"/>
          <w:szCs w:val="28"/>
        </w:rPr>
        <w:t>主要包括下列内容：</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报价供应商名称、通讯地址、联系人及联系电话；</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质疑采购项目的名称、编号；</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具体质疑事项和请求；</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4）</w:t>
      </w:r>
      <w:r>
        <w:rPr>
          <w:rFonts w:hint="eastAsia" w:ascii="宋体" w:hAnsi="宋体"/>
          <w:bCs/>
          <w:sz w:val="28"/>
          <w:szCs w:val="28"/>
        </w:rPr>
        <w:t>事实依据；</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5）</w:t>
      </w:r>
      <w:r>
        <w:rPr>
          <w:rFonts w:hint="eastAsia" w:ascii="宋体" w:hAnsi="宋体"/>
          <w:bCs/>
          <w:sz w:val="28"/>
          <w:szCs w:val="28"/>
        </w:rPr>
        <w:t>法律依据；</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6）</w:t>
      </w:r>
      <w:r>
        <w:rPr>
          <w:rFonts w:hint="eastAsia" w:ascii="宋体" w:hAnsi="宋体"/>
          <w:bCs/>
          <w:sz w:val="28"/>
          <w:szCs w:val="28"/>
        </w:rPr>
        <w:t>提出质疑的日期。</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44.3</w:t>
      </w:r>
      <w:r>
        <w:rPr>
          <w:rFonts w:hint="eastAsia" w:ascii="宋体" w:hAnsi="宋体"/>
          <w:bCs/>
          <w:sz w:val="28"/>
          <w:szCs w:val="28"/>
        </w:rPr>
        <w:t>质疑函应当由法定代表人或其授权代表签字，并加盖公章。授权代表应当提供由法定代表人签署的授权书，载明被授权人的姓名、职务、授权范围和时间期限，并加盖公章。</w:t>
      </w:r>
    </w:p>
    <w:p>
      <w:pPr>
        <w:tabs>
          <w:tab w:val="left" w:pos="562"/>
        </w:tabs>
        <w:adjustRightInd w:val="0"/>
        <w:snapToGrid w:val="0"/>
        <w:spacing w:line="560" w:lineRule="exact"/>
        <w:ind w:firstLine="560" w:firstLineChars="200"/>
        <w:rPr>
          <w:rFonts w:ascii="宋体" w:hAnsi="宋体"/>
          <w:bCs/>
          <w:sz w:val="28"/>
          <w:szCs w:val="28"/>
        </w:rPr>
      </w:pPr>
      <w:r>
        <w:rPr>
          <w:rFonts w:ascii="宋体" w:hAnsi="宋体"/>
          <w:bCs/>
          <w:sz w:val="28"/>
          <w:szCs w:val="28"/>
        </w:rPr>
        <w:t>44.4质疑</w:t>
      </w:r>
      <w:r>
        <w:rPr>
          <w:rFonts w:hint="eastAsia" w:ascii="宋体" w:hAnsi="宋体"/>
          <w:bCs/>
          <w:sz w:val="28"/>
          <w:szCs w:val="28"/>
        </w:rPr>
        <w:t>受理单位及</w:t>
      </w:r>
      <w:r>
        <w:rPr>
          <w:rFonts w:ascii="宋体" w:hAnsi="宋体"/>
          <w:bCs/>
          <w:sz w:val="28"/>
          <w:szCs w:val="28"/>
        </w:rPr>
        <w:t>联系方式</w:t>
      </w:r>
      <w:r>
        <w:rPr>
          <w:rFonts w:hint="eastAsia" w:ascii="宋体" w:hAnsi="宋体"/>
          <w:bCs/>
          <w:sz w:val="28"/>
          <w:szCs w:val="28"/>
        </w:rPr>
        <w:t>见</w:t>
      </w:r>
      <w:r>
        <w:rPr>
          <w:rFonts w:hint="eastAsia" w:ascii="宋体" w:hAnsi="宋体"/>
          <w:bCs/>
          <w:sz w:val="28"/>
          <w:szCs w:val="28"/>
          <w:lang w:val="zh-CN"/>
        </w:rPr>
        <w:t>【</w:t>
      </w:r>
      <w:r>
        <w:rPr>
          <w:rFonts w:hint="eastAsia" w:asciiTheme="minorEastAsia" w:hAnsiTheme="minorEastAsia" w:eastAsiaTheme="minorEastAsia"/>
          <w:bCs/>
          <w:sz w:val="28"/>
          <w:szCs w:val="28"/>
        </w:rPr>
        <w:t>报价供应商</w:t>
      </w:r>
      <w:r>
        <w:rPr>
          <w:rFonts w:hint="eastAsia" w:ascii="宋体" w:hAnsi="宋体"/>
          <w:bCs/>
          <w:sz w:val="28"/>
          <w:szCs w:val="28"/>
          <w:lang w:val="zh-CN"/>
        </w:rPr>
        <w:t>须知前附表】</w:t>
      </w:r>
      <w:r>
        <w:rPr>
          <w:rFonts w:hint="eastAsia" w:ascii="宋体" w:hAnsi="宋体"/>
          <w:bCs/>
          <w:sz w:val="28"/>
          <w:szCs w:val="28"/>
        </w:rPr>
        <w:t>。</w:t>
      </w:r>
    </w:p>
    <w:p>
      <w:pPr>
        <w:pStyle w:val="6"/>
        <w:keepNext w:val="0"/>
        <w:keepLines w:val="0"/>
        <w:adjustRightInd w:val="0"/>
        <w:snapToGrid w:val="0"/>
        <w:spacing w:before="0" w:after="0" w:line="560" w:lineRule="exact"/>
        <w:ind w:firstLine="560" w:firstLineChars="200"/>
        <w:rPr>
          <w:rFonts w:ascii="黑体" w:hAnsi="黑体"/>
          <w:b w:val="0"/>
        </w:rPr>
      </w:pPr>
      <w:r>
        <w:rPr>
          <w:rFonts w:ascii="黑体" w:hAnsi="黑体"/>
          <w:b w:val="0"/>
        </w:rPr>
        <w:t>45.</w:t>
      </w:r>
      <w:r>
        <w:rPr>
          <w:rFonts w:hint="eastAsia" w:ascii="黑体" w:hAnsi="黑体"/>
          <w:b w:val="0"/>
        </w:rPr>
        <w:t>投诉</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ascii="宋体" w:hAnsi="宋体"/>
          <w:bCs/>
          <w:sz w:val="28"/>
          <w:szCs w:val="28"/>
        </w:rPr>
        <w:t>45.1质疑</w:t>
      </w:r>
      <w:r>
        <w:rPr>
          <w:rFonts w:hint="eastAsia" w:ascii="宋体" w:hAnsi="宋体"/>
          <w:bCs/>
          <w:sz w:val="28"/>
          <w:szCs w:val="28"/>
        </w:rPr>
        <w:t>受理单位拒收质疑</w:t>
      </w:r>
      <w:r>
        <w:rPr>
          <w:rFonts w:ascii="宋体" w:hAnsi="宋体"/>
          <w:bCs/>
          <w:sz w:val="28"/>
          <w:szCs w:val="28"/>
        </w:rPr>
        <w:t>函或</w:t>
      </w:r>
      <w:r>
        <w:rPr>
          <w:rFonts w:hint="eastAsia" w:ascii="宋体" w:hAnsi="宋体"/>
          <w:bCs/>
          <w:sz w:val="28"/>
          <w:szCs w:val="28"/>
        </w:rPr>
        <w:t>未</w:t>
      </w:r>
      <w:r>
        <w:rPr>
          <w:rFonts w:ascii="宋体" w:hAnsi="宋体"/>
          <w:bCs/>
          <w:sz w:val="28"/>
          <w:szCs w:val="28"/>
        </w:rPr>
        <w:t>在规定期限内</w:t>
      </w:r>
      <w:r>
        <w:rPr>
          <w:rFonts w:hint="eastAsia" w:ascii="宋体" w:hAnsi="宋体"/>
          <w:bCs/>
          <w:sz w:val="28"/>
          <w:szCs w:val="28"/>
        </w:rPr>
        <w:t>作出</w:t>
      </w:r>
      <w:r>
        <w:rPr>
          <w:rFonts w:ascii="宋体" w:hAnsi="宋体"/>
          <w:bCs/>
          <w:sz w:val="28"/>
          <w:szCs w:val="28"/>
        </w:rPr>
        <w:t>答复</w:t>
      </w:r>
      <w:r>
        <w:rPr>
          <w:rFonts w:hint="eastAsia" w:ascii="宋体" w:hAnsi="宋体"/>
          <w:bCs/>
          <w:sz w:val="28"/>
          <w:szCs w:val="28"/>
        </w:rPr>
        <w:t>，</w:t>
      </w:r>
      <w:r>
        <w:rPr>
          <w:rFonts w:ascii="宋体" w:hAnsi="宋体"/>
          <w:bCs/>
          <w:sz w:val="28"/>
          <w:szCs w:val="28"/>
        </w:rPr>
        <w:t>以及对</w:t>
      </w:r>
      <w:r>
        <w:rPr>
          <w:rFonts w:hint="eastAsia" w:ascii="宋体" w:hAnsi="宋体"/>
          <w:bCs/>
          <w:sz w:val="28"/>
          <w:szCs w:val="28"/>
        </w:rPr>
        <w:t>质疑</w:t>
      </w:r>
      <w:r>
        <w:rPr>
          <w:rFonts w:ascii="宋体" w:hAnsi="宋体"/>
          <w:bCs/>
          <w:sz w:val="28"/>
          <w:szCs w:val="28"/>
        </w:rPr>
        <w:t>答复及处理结果不满意的，质疑</w:t>
      </w:r>
      <w:r>
        <w:rPr>
          <w:rFonts w:hint="eastAsia" w:ascii="宋体" w:hAnsi="宋体"/>
          <w:bCs/>
          <w:sz w:val="28"/>
          <w:szCs w:val="28"/>
        </w:rPr>
        <w:t>供应商</w:t>
      </w:r>
      <w:r>
        <w:rPr>
          <w:rFonts w:ascii="宋体" w:hAnsi="宋体"/>
          <w:bCs/>
          <w:sz w:val="28"/>
          <w:szCs w:val="28"/>
        </w:rPr>
        <w:t>可以在质疑答复期满之日起15个工作日内，</w:t>
      </w:r>
      <w:r>
        <w:rPr>
          <w:rFonts w:hint="eastAsia" w:ascii="宋体" w:hAnsi="宋体"/>
          <w:bCs/>
          <w:sz w:val="28"/>
          <w:szCs w:val="28"/>
        </w:rPr>
        <w:t>向投诉受理部门提出书面投诉</w:t>
      </w:r>
      <w:r>
        <w:rPr>
          <w:rFonts w:ascii="宋体" w:hAnsi="宋体"/>
          <w:bCs/>
          <w:sz w:val="28"/>
          <w:szCs w:val="28"/>
        </w:rPr>
        <w:t>。</w:t>
      </w:r>
    </w:p>
    <w:p>
      <w:pPr>
        <w:tabs>
          <w:tab w:val="left" w:pos="562"/>
          <w:tab w:val="left" w:pos="1129"/>
        </w:tabs>
        <w:adjustRightInd w:val="0"/>
        <w:snapToGrid w:val="0"/>
        <w:spacing w:line="560" w:lineRule="exact"/>
        <w:ind w:firstLine="560" w:firstLineChars="200"/>
        <w:rPr>
          <w:rFonts w:ascii="仿宋_GB2312" w:hAnsi="宋体" w:cs="宋体"/>
          <w:bCs/>
          <w:sz w:val="28"/>
          <w:szCs w:val="36"/>
        </w:rPr>
      </w:pPr>
      <w:r>
        <w:rPr>
          <w:rFonts w:ascii="宋体" w:hAnsi="宋体"/>
          <w:bCs/>
          <w:sz w:val="28"/>
          <w:szCs w:val="28"/>
        </w:rPr>
        <w:t>45.2</w:t>
      </w:r>
      <w:r>
        <w:rPr>
          <w:rFonts w:hint="eastAsia" w:ascii="仿宋_GB2312" w:hAnsi="宋体" w:cs="宋体"/>
          <w:bCs/>
          <w:sz w:val="28"/>
          <w:szCs w:val="36"/>
        </w:rPr>
        <w:t>投诉人投诉时</w:t>
      </w:r>
      <w:r>
        <w:rPr>
          <w:rFonts w:hint="eastAsia" w:ascii="宋体" w:hAnsi="宋体"/>
          <w:bCs/>
          <w:sz w:val="28"/>
          <w:szCs w:val="28"/>
        </w:rPr>
        <w:t>，</w:t>
      </w:r>
      <w:r>
        <w:rPr>
          <w:rFonts w:ascii="仿宋_GB2312" w:hAnsi="宋体" w:cs="宋体"/>
          <w:bCs/>
          <w:sz w:val="28"/>
          <w:szCs w:val="36"/>
        </w:rPr>
        <w:t>应当提交投诉书正本和必要的证明材料，并按照被投诉人和与投诉事项有关的供应商数量提供投诉书副本。投诉书应当包括下列内容：</w:t>
      </w:r>
    </w:p>
    <w:p>
      <w:pPr>
        <w:pStyle w:val="22"/>
        <w:adjustRightInd w:val="0"/>
        <w:snapToGrid w:val="0"/>
        <w:spacing w:line="560" w:lineRule="exact"/>
        <w:ind w:firstLine="560" w:firstLineChars="200"/>
        <w:rPr>
          <w:rFonts w:ascii="仿宋_GB2312" w:hAnsi="宋体" w:cs="宋体"/>
          <w:bCs/>
          <w:sz w:val="28"/>
          <w:szCs w:val="36"/>
        </w:rPr>
      </w:pPr>
      <w:r>
        <w:rPr>
          <w:rFonts w:hint="eastAsia" w:hAnsi="宋体"/>
          <w:bCs/>
          <w:sz w:val="28"/>
          <w:szCs w:val="28"/>
        </w:rPr>
        <w:t>（1）</w:t>
      </w:r>
      <w:r>
        <w:rPr>
          <w:rFonts w:hint="eastAsia" w:ascii="仿宋_GB2312" w:hAnsi="宋体" w:cs="宋体"/>
          <w:bCs/>
          <w:sz w:val="28"/>
          <w:szCs w:val="36"/>
        </w:rPr>
        <w:t>投诉人和被投诉人的名称、通讯地址、邮编、联系人及联系电话；</w:t>
      </w:r>
    </w:p>
    <w:p>
      <w:pPr>
        <w:pStyle w:val="22"/>
        <w:adjustRightInd w:val="0"/>
        <w:snapToGrid w:val="0"/>
        <w:spacing w:line="560" w:lineRule="exact"/>
        <w:ind w:firstLine="560" w:firstLineChars="200"/>
        <w:rPr>
          <w:rFonts w:ascii="仿宋_GB2312" w:hAnsi="宋体" w:cs="宋体"/>
          <w:bCs/>
          <w:sz w:val="28"/>
          <w:szCs w:val="36"/>
        </w:rPr>
      </w:pPr>
      <w:r>
        <w:rPr>
          <w:rFonts w:hint="eastAsia" w:hAnsi="宋体"/>
          <w:bCs/>
          <w:sz w:val="28"/>
          <w:szCs w:val="28"/>
        </w:rPr>
        <w:t>（2）</w:t>
      </w:r>
      <w:r>
        <w:rPr>
          <w:rFonts w:hint="eastAsia" w:ascii="仿宋_GB2312" w:hAnsi="宋体" w:cs="宋体"/>
          <w:bCs/>
          <w:sz w:val="28"/>
          <w:szCs w:val="36"/>
        </w:rPr>
        <w:t>质疑和质疑答复情况说明及相关证明材料；</w:t>
      </w:r>
    </w:p>
    <w:p>
      <w:pPr>
        <w:pStyle w:val="22"/>
        <w:adjustRightInd w:val="0"/>
        <w:snapToGrid w:val="0"/>
        <w:spacing w:line="560" w:lineRule="exact"/>
        <w:ind w:firstLine="560" w:firstLineChars="200"/>
        <w:rPr>
          <w:rFonts w:cs="宋体" w:asciiTheme="minorEastAsia" w:hAnsiTheme="minorEastAsia" w:eastAsiaTheme="minorEastAsia"/>
          <w:bCs/>
          <w:sz w:val="28"/>
          <w:szCs w:val="36"/>
        </w:rPr>
      </w:pPr>
      <w:r>
        <w:rPr>
          <w:rFonts w:hint="eastAsia" w:cs="宋体" w:asciiTheme="minorEastAsia" w:hAnsiTheme="minorEastAsia" w:eastAsiaTheme="minorEastAsia"/>
          <w:bCs/>
          <w:sz w:val="28"/>
          <w:szCs w:val="36"/>
        </w:rPr>
        <w:t>（3）具体、明确的投诉事项和与投诉事项相关的投诉请求；</w:t>
      </w:r>
    </w:p>
    <w:p>
      <w:pPr>
        <w:pStyle w:val="22"/>
        <w:adjustRightInd w:val="0"/>
        <w:snapToGrid w:val="0"/>
        <w:spacing w:line="560" w:lineRule="exact"/>
        <w:ind w:firstLine="560" w:firstLineChars="200"/>
        <w:rPr>
          <w:rFonts w:ascii="仿宋_GB2312" w:hAnsi="宋体" w:cs="宋体"/>
          <w:bCs/>
          <w:sz w:val="28"/>
          <w:szCs w:val="36"/>
        </w:rPr>
      </w:pPr>
      <w:r>
        <w:rPr>
          <w:rFonts w:hint="eastAsia" w:hAnsi="宋体"/>
          <w:bCs/>
          <w:sz w:val="28"/>
          <w:szCs w:val="28"/>
        </w:rPr>
        <w:t>（4）</w:t>
      </w:r>
      <w:r>
        <w:rPr>
          <w:rFonts w:hint="eastAsia" w:ascii="仿宋_GB2312" w:hAnsi="宋体" w:cs="宋体"/>
          <w:bCs/>
          <w:sz w:val="28"/>
          <w:szCs w:val="36"/>
        </w:rPr>
        <w:t>事实依据；</w:t>
      </w:r>
    </w:p>
    <w:p>
      <w:pPr>
        <w:pStyle w:val="22"/>
        <w:adjustRightInd w:val="0"/>
        <w:snapToGrid w:val="0"/>
        <w:spacing w:line="560" w:lineRule="exact"/>
        <w:ind w:firstLine="560" w:firstLineChars="200"/>
        <w:rPr>
          <w:rFonts w:ascii="仿宋_GB2312" w:hAnsi="宋体" w:cs="宋体"/>
          <w:bCs/>
          <w:sz w:val="28"/>
          <w:szCs w:val="36"/>
        </w:rPr>
      </w:pPr>
      <w:r>
        <w:rPr>
          <w:rFonts w:hint="eastAsia" w:hAnsi="宋体"/>
          <w:bCs/>
          <w:sz w:val="28"/>
          <w:szCs w:val="28"/>
        </w:rPr>
        <w:t>（5）</w:t>
      </w:r>
      <w:r>
        <w:rPr>
          <w:rFonts w:hint="eastAsia" w:ascii="仿宋_GB2312" w:hAnsi="宋体" w:cs="宋体"/>
          <w:bCs/>
          <w:sz w:val="28"/>
          <w:szCs w:val="36"/>
        </w:rPr>
        <w:t>法律依据；</w:t>
      </w:r>
    </w:p>
    <w:p>
      <w:pPr>
        <w:pStyle w:val="22"/>
        <w:adjustRightInd w:val="0"/>
        <w:snapToGrid w:val="0"/>
        <w:spacing w:line="560" w:lineRule="exact"/>
        <w:ind w:firstLine="560" w:firstLineChars="200"/>
        <w:rPr>
          <w:rFonts w:ascii="仿宋_GB2312" w:hAnsi="宋体" w:cs="宋体"/>
          <w:bCs/>
          <w:sz w:val="28"/>
          <w:szCs w:val="36"/>
        </w:rPr>
      </w:pPr>
      <w:r>
        <w:rPr>
          <w:rFonts w:hint="eastAsia" w:hAnsi="宋体"/>
          <w:bCs/>
          <w:sz w:val="28"/>
          <w:szCs w:val="28"/>
        </w:rPr>
        <w:t>（6）</w:t>
      </w:r>
      <w:r>
        <w:rPr>
          <w:rFonts w:hint="eastAsia" w:ascii="仿宋_GB2312" w:hAnsi="宋体" w:cs="宋体"/>
          <w:bCs/>
          <w:sz w:val="28"/>
          <w:szCs w:val="36"/>
        </w:rPr>
        <w:t>提起投诉的日期。</w:t>
      </w:r>
    </w:p>
    <w:p>
      <w:pPr>
        <w:pStyle w:val="22"/>
        <w:adjustRightInd w:val="0"/>
        <w:snapToGrid w:val="0"/>
        <w:spacing w:line="560" w:lineRule="exact"/>
        <w:ind w:firstLine="560" w:firstLineChars="200"/>
        <w:rPr>
          <w:rFonts w:ascii="仿宋_GB2312" w:hAnsi="宋体" w:cs="宋体"/>
          <w:bCs/>
          <w:sz w:val="28"/>
          <w:szCs w:val="36"/>
        </w:rPr>
      </w:pPr>
      <w:r>
        <w:rPr>
          <w:rFonts w:hAnsi="宋体" w:cs="Times New Roman"/>
          <w:bCs/>
          <w:sz w:val="28"/>
          <w:szCs w:val="28"/>
        </w:rPr>
        <w:t>45.3</w:t>
      </w:r>
      <w:r>
        <w:rPr>
          <w:rFonts w:hint="eastAsia" w:ascii="仿宋_GB2312" w:hAnsi="宋体" w:cs="宋体"/>
          <w:bCs/>
          <w:sz w:val="28"/>
          <w:szCs w:val="36"/>
        </w:rPr>
        <w:t>投诉书应当由法定代表人或其授权代表签字，并加盖公章。法定代表人授权其他人办理采购投诉事宜，应当在正本中签署授权书；授权书应当载明被授权人的姓名、职务、授权范围和时间期限，并加盖公章。</w:t>
      </w:r>
    </w:p>
    <w:p>
      <w:pPr>
        <w:tabs>
          <w:tab w:val="left" w:pos="562"/>
        </w:tabs>
        <w:adjustRightInd w:val="0"/>
        <w:snapToGrid w:val="0"/>
        <w:spacing w:line="560" w:lineRule="exact"/>
        <w:ind w:firstLine="560" w:firstLineChars="200"/>
        <w:rPr>
          <w:rFonts w:ascii="宋体" w:hAnsi="宋体"/>
          <w:bCs/>
          <w:sz w:val="28"/>
          <w:szCs w:val="28"/>
        </w:rPr>
      </w:pPr>
      <w:r>
        <w:rPr>
          <w:rFonts w:ascii="宋体" w:hAnsi="宋体"/>
          <w:bCs/>
          <w:sz w:val="28"/>
          <w:szCs w:val="28"/>
        </w:rPr>
        <w:t>45.4受理、处理</w:t>
      </w:r>
      <w:r>
        <w:rPr>
          <w:rFonts w:hint="eastAsia" w:ascii="宋体" w:hAnsi="宋体"/>
          <w:bCs/>
          <w:sz w:val="28"/>
          <w:szCs w:val="28"/>
        </w:rPr>
        <w:t>投诉申请</w:t>
      </w:r>
      <w:r>
        <w:rPr>
          <w:rFonts w:ascii="宋体" w:hAnsi="宋体"/>
          <w:bCs/>
          <w:sz w:val="28"/>
          <w:szCs w:val="28"/>
        </w:rPr>
        <w:t>部门及联系方式</w:t>
      </w:r>
      <w:r>
        <w:rPr>
          <w:rFonts w:hint="eastAsia" w:ascii="宋体" w:hAnsi="宋体"/>
          <w:bCs/>
          <w:sz w:val="28"/>
          <w:szCs w:val="28"/>
        </w:rPr>
        <w:t>见</w:t>
      </w:r>
      <w:r>
        <w:rPr>
          <w:rFonts w:hint="eastAsia" w:ascii="宋体" w:hAnsi="宋体"/>
          <w:bCs/>
          <w:sz w:val="28"/>
          <w:szCs w:val="28"/>
          <w:lang w:val="zh-CN"/>
        </w:rPr>
        <w:t>【</w:t>
      </w:r>
      <w:r>
        <w:rPr>
          <w:rFonts w:hint="eastAsia" w:asciiTheme="minorEastAsia" w:hAnsiTheme="minorEastAsia" w:eastAsiaTheme="minorEastAsia"/>
          <w:bCs/>
          <w:sz w:val="28"/>
          <w:szCs w:val="28"/>
        </w:rPr>
        <w:t>报价供应商</w:t>
      </w:r>
      <w:r>
        <w:rPr>
          <w:rFonts w:hint="eastAsia" w:ascii="宋体" w:hAnsi="宋体"/>
          <w:bCs/>
          <w:sz w:val="28"/>
          <w:szCs w:val="28"/>
          <w:lang w:val="zh-CN"/>
        </w:rPr>
        <w:t>须知前附表】</w:t>
      </w:r>
      <w:r>
        <w:rPr>
          <w:rFonts w:hint="eastAsia" w:ascii="宋体" w:hAnsi="宋体"/>
          <w:bCs/>
          <w:sz w:val="28"/>
          <w:szCs w:val="28"/>
        </w:rPr>
        <w:t>。</w:t>
      </w:r>
    </w:p>
    <w:p>
      <w:pPr>
        <w:pStyle w:val="6"/>
        <w:keepNext w:val="0"/>
        <w:keepLines w:val="0"/>
        <w:adjustRightInd w:val="0"/>
        <w:snapToGrid w:val="0"/>
        <w:spacing w:before="0" w:after="0" w:line="560" w:lineRule="exact"/>
        <w:ind w:firstLine="560" w:firstLineChars="200"/>
        <w:rPr>
          <w:rFonts w:ascii="黑体" w:hAnsi="黑体"/>
          <w:b w:val="0"/>
        </w:rPr>
      </w:pPr>
      <w:r>
        <w:rPr>
          <w:rFonts w:ascii="黑体" w:hAnsi="黑体"/>
          <w:b w:val="0"/>
        </w:rPr>
        <w:t>46</w:t>
      </w:r>
      <w:r>
        <w:rPr>
          <w:rFonts w:hint="eastAsia" w:ascii="黑体" w:hAnsi="黑体"/>
          <w:b w:val="0"/>
        </w:rPr>
        <w:t>.投诉复议</w:t>
      </w:r>
    </w:p>
    <w:p>
      <w:pPr>
        <w:tabs>
          <w:tab w:val="left" w:pos="562"/>
          <w:tab w:val="left" w:pos="1129"/>
        </w:tabs>
        <w:adjustRightInd w:val="0"/>
        <w:snapToGrid w:val="0"/>
        <w:spacing w:line="560" w:lineRule="exact"/>
        <w:ind w:firstLine="560" w:firstLineChars="200"/>
        <w:rPr>
          <w:rFonts w:ascii="仿宋_GB2312" w:hAnsi="宋体" w:cs="宋体"/>
          <w:bCs/>
          <w:sz w:val="28"/>
          <w:szCs w:val="36"/>
        </w:rPr>
      </w:pPr>
      <w:r>
        <w:rPr>
          <w:rFonts w:ascii="宋体" w:hAnsi="宋体"/>
          <w:bCs/>
          <w:sz w:val="28"/>
          <w:szCs w:val="28"/>
        </w:rPr>
        <w:t>46.1</w:t>
      </w:r>
      <w:r>
        <w:rPr>
          <w:rFonts w:hint="eastAsia" w:ascii="仿宋_GB2312" w:hAnsi="宋体" w:cs="宋体"/>
          <w:bCs/>
          <w:sz w:val="28"/>
          <w:szCs w:val="36"/>
        </w:rPr>
        <w:t>投诉人对投诉受理部门的投诉处理决定不服或投诉受理部门逾期未作处理的，可以自收到投诉处理决定书</w:t>
      </w:r>
      <w:r>
        <w:rPr>
          <w:rFonts w:ascii="宋体" w:hAnsi="宋体"/>
          <w:bCs/>
          <w:sz w:val="28"/>
          <w:szCs w:val="28"/>
        </w:rPr>
        <w:t>15个工作日内，</w:t>
      </w:r>
      <w:r>
        <w:rPr>
          <w:rFonts w:hint="eastAsia" w:ascii="仿宋_GB2312" w:hAnsi="宋体" w:cs="宋体"/>
          <w:bCs/>
          <w:sz w:val="28"/>
          <w:szCs w:val="36"/>
        </w:rPr>
        <w:t>提出投诉复议申请。</w:t>
      </w:r>
    </w:p>
    <w:p>
      <w:pPr>
        <w:tabs>
          <w:tab w:val="left" w:pos="562"/>
          <w:tab w:val="left" w:pos="1129"/>
        </w:tabs>
        <w:adjustRightInd w:val="0"/>
        <w:snapToGrid w:val="0"/>
        <w:spacing w:line="560" w:lineRule="exact"/>
        <w:ind w:firstLine="560" w:firstLineChars="200"/>
        <w:rPr>
          <w:rFonts w:ascii="仿宋_GB2312" w:hAnsi="宋体" w:cs="宋体"/>
          <w:bCs/>
          <w:sz w:val="28"/>
          <w:szCs w:val="36"/>
        </w:rPr>
      </w:pPr>
      <w:r>
        <w:rPr>
          <w:rFonts w:ascii="宋体" w:hAnsi="宋体"/>
          <w:bCs/>
          <w:sz w:val="28"/>
          <w:szCs w:val="28"/>
        </w:rPr>
        <w:t>46.2</w:t>
      </w:r>
      <w:r>
        <w:rPr>
          <w:rFonts w:hint="eastAsia" w:ascii="仿宋_GB2312" w:hAnsi="宋体" w:cs="宋体"/>
          <w:bCs/>
          <w:sz w:val="28"/>
          <w:szCs w:val="36"/>
        </w:rPr>
        <w:t>投诉复议申请人应当提交投诉复议申请书和必要的证明材料，并按照被申请人和与复议事项有关当事人数量提供申请书副本。投诉复议申请书应当包括下列内容：</w:t>
      </w:r>
    </w:p>
    <w:p>
      <w:pPr>
        <w:pStyle w:val="22"/>
        <w:adjustRightInd w:val="0"/>
        <w:snapToGrid w:val="0"/>
        <w:spacing w:line="560" w:lineRule="exact"/>
        <w:ind w:firstLine="560" w:firstLineChars="200"/>
        <w:rPr>
          <w:rFonts w:ascii="Times New Roman" w:hAnsi="Times New Roman"/>
          <w:bCs/>
          <w:kern w:val="0"/>
          <w:sz w:val="28"/>
          <w:szCs w:val="36"/>
        </w:rPr>
      </w:pPr>
      <w:r>
        <w:rPr>
          <w:rFonts w:hint="eastAsia" w:hAnsi="宋体"/>
          <w:bCs/>
          <w:sz w:val="28"/>
          <w:szCs w:val="28"/>
        </w:rPr>
        <w:t>（</w:t>
      </w:r>
      <w:r>
        <w:rPr>
          <w:rFonts w:hAnsi="宋体"/>
          <w:bCs/>
          <w:sz w:val="28"/>
          <w:szCs w:val="28"/>
        </w:rPr>
        <w:t>1）</w:t>
      </w:r>
      <w:r>
        <w:rPr>
          <w:rFonts w:hint="eastAsia" w:ascii="Times New Roman" w:hAnsi="Times New Roman"/>
          <w:bCs/>
          <w:kern w:val="0"/>
          <w:sz w:val="28"/>
          <w:szCs w:val="36"/>
        </w:rPr>
        <w:t>申请人和被申请人名称、通讯地址、联系人、联系电话；</w:t>
      </w:r>
    </w:p>
    <w:p>
      <w:pPr>
        <w:pStyle w:val="22"/>
        <w:adjustRightInd w:val="0"/>
        <w:snapToGrid w:val="0"/>
        <w:spacing w:line="560" w:lineRule="exact"/>
        <w:ind w:firstLine="560" w:firstLineChars="200"/>
        <w:rPr>
          <w:rFonts w:ascii="Times New Roman" w:hAnsi="Times New Roman"/>
          <w:bCs/>
          <w:kern w:val="0"/>
          <w:sz w:val="28"/>
          <w:szCs w:val="36"/>
        </w:rPr>
      </w:pPr>
      <w:r>
        <w:rPr>
          <w:rFonts w:hint="eastAsia" w:hAnsi="宋体"/>
          <w:bCs/>
          <w:sz w:val="28"/>
          <w:szCs w:val="28"/>
        </w:rPr>
        <w:t>（</w:t>
      </w:r>
      <w:r>
        <w:rPr>
          <w:rFonts w:hAnsi="宋体"/>
          <w:bCs/>
          <w:sz w:val="28"/>
          <w:szCs w:val="28"/>
        </w:rPr>
        <w:t>2）</w:t>
      </w:r>
      <w:r>
        <w:rPr>
          <w:rFonts w:hint="eastAsia" w:ascii="Times New Roman" w:hAnsi="Times New Roman"/>
          <w:bCs/>
          <w:kern w:val="0"/>
          <w:sz w:val="28"/>
          <w:szCs w:val="36"/>
        </w:rPr>
        <w:t>投诉和投诉处理决定情况说明及相关证明材料；</w:t>
      </w:r>
    </w:p>
    <w:p>
      <w:pPr>
        <w:pStyle w:val="22"/>
        <w:adjustRightInd w:val="0"/>
        <w:snapToGrid w:val="0"/>
        <w:spacing w:line="560" w:lineRule="exact"/>
        <w:ind w:firstLine="560" w:firstLineChars="200"/>
        <w:rPr>
          <w:rFonts w:ascii="Times New Roman" w:hAnsi="Times New Roman"/>
          <w:bCs/>
          <w:kern w:val="0"/>
          <w:sz w:val="28"/>
          <w:szCs w:val="36"/>
        </w:rPr>
      </w:pPr>
      <w:r>
        <w:rPr>
          <w:rFonts w:hint="eastAsia" w:hAnsi="宋体"/>
          <w:bCs/>
          <w:sz w:val="28"/>
          <w:szCs w:val="28"/>
        </w:rPr>
        <w:t>（</w:t>
      </w:r>
      <w:r>
        <w:rPr>
          <w:rFonts w:hAnsi="宋体"/>
          <w:bCs/>
          <w:sz w:val="28"/>
          <w:szCs w:val="28"/>
        </w:rPr>
        <w:t>3）</w:t>
      </w:r>
      <w:r>
        <w:rPr>
          <w:rFonts w:hint="eastAsia" w:ascii="Times New Roman" w:hAnsi="Times New Roman"/>
          <w:bCs/>
          <w:kern w:val="0"/>
          <w:sz w:val="28"/>
          <w:szCs w:val="36"/>
        </w:rPr>
        <w:t>具体、明确的复议事项和与复议事项相关的请求；</w:t>
      </w:r>
    </w:p>
    <w:p>
      <w:pPr>
        <w:pStyle w:val="22"/>
        <w:adjustRightInd w:val="0"/>
        <w:snapToGrid w:val="0"/>
        <w:spacing w:line="560" w:lineRule="exact"/>
        <w:ind w:firstLine="560" w:firstLineChars="200"/>
        <w:rPr>
          <w:rFonts w:ascii="Times New Roman" w:hAnsi="Times New Roman"/>
          <w:bCs/>
          <w:kern w:val="0"/>
          <w:sz w:val="28"/>
          <w:szCs w:val="36"/>
        </w:rPr>
      </w:pPr>
      <w:r>
        <w:rPr>
          <w:rFonts w:hint="eastAsia" w:hAnsi="宋体"/>
          <w:bCs/>
          <w:sz w:val="28"/>
          <w:szCs w:val="28"/>
        </w:rPr>
        <w:t>（</w:t>
      </w:r>
      <w:r>
        <w:rPr>
          <w:rFonts w:hAnsi="宋体"/>
          <w:bCs/>
          <w:sz w:val="28"/>
          <w:szCs w:val="28"/>
        </w:rPr>
        <w:t>4）</w:t>
      </w:r>
      <w:r>
        <w:rPr>
          <w:rFonts w:hint="eastAsia" w:ascii="Times New Roman" w:hAnsi="Times New Roman"/>
          <w:bCs/>
          <w:kern w:val="0"/>
          <w:sz w:val="28"/>
          <w:szCs w:val="36"/>
        </w:rPr>
        <w:t>事实依据；</w:t>
      </w:r>
    </w:p>
    <w:p>
      <w:pPr>
        <w:pStyle w:val="22"/>
        <w:adjustRightInd w:val="0"/>
        <w:snapToGrid w:val="0"/>
        <w:spacing w:line="560" w:lineRule="exact"/>
        <w:ind w:firstLine="560" w:firstLineChars="200"/>
        <w:rPr>
          <w:rFonts w:ascii="Times New Roman" w:hAnsi="Times New Roman"/>
          <w:bCs/>
          <w:kern w:val="0"/>
          <w:sz w:val="28"/>
          <w:szCs w:val="36"/>
        </w:rPr>
      </w:pPr>
      <w:r>
        <w:rPr>
          <w:rFonts w:hint="eastAsia" w:ascii="Times New Roman" w:hAnsi="Times New Roman"/>
          <w:bCs/>
          <w:kern w:val="0"/>
          <w:sz w:val="28"/>
          <w:szCs w:val="36"/>
        </w:rPr>
        <w:t>（</w:t>
      </w:r>
      <w:r>
        <w:rPr>
          <w:rFonts w:asciiTheme="minorEastAsia" w:hAnsiTheme="minorEastAsia" w:eastAsiaTheme="minorEastAsia"/>
          <w:bCs/>
          <w:kern w:val="0"/>
          <w:sz w:val="28"/>
          <w:szCs w:val="36"/>
        </w:rPr>
        <w:t>5</w:t>
      </w:r>
      <w:r>
        <w:rPr>
          <w:rFonts w:hint="eastAsia" w:ascii="Times New Roman" w:hAnsi="Times New Roman"/>
          <w:bCs/>
          <w:kern w:val="0"/>
          <w:sz w:val="28"/>
          <w:szCs w:val="36"/>
        </w:rPr>
        <w:t>）法律依据；</w:t>
      </w:r>
    </w:p>
    <w:p>
      <w:pPr>
        <w:pStyle w:val="22"/>
        <w:adjustRightInd w:val="0"/>
        <w:snapToGrid w:val="0"/>
        <w:spacing w:line="560" w:lineRule="exact"/>
        <w:ind w:firstLine="560" w:firstLineChars="200"/>
        <w:rPr>
          <w:rFonts w:ascii="Times New Roman" w:hAnsi="Times New Roman"/>
          <w:bCs/>
          <w:kern w:val="0"/>
          <w:sz w:val="28"/>
          <w:szCs w:val="36"/>
        </w:rPr>
      </w:pPr>
      <w:r>
        <w:rPr>
          <w:rFonts w:hint="eastAsia" w:hAnsi="宋体"/>
          <w:bCs/>
          <w:sz w:val="28"/>
          <w:szCs w:val="28"/>
        </w:rPr>
        <w:t>（</w:t>
      </w:r>
      <w:r>
        <w:rPr>
          <w:rFonts w:hAnsi="宋体"/>
          <w:bCs/>
          <w:sz w:val="28"/>
          <w:szCs w:val="28"/>
        </w:rPr>
        <w:t>6）</w:t>
      </w:r>
      <w:r>
        <w:rPr>
          <w:rFonts w:hint="eastAsia" w:ascii="Times New Roman" w:hAnsi="Times New Roman"/>
          <w:bCs/>
          <w:kern w:val="0"/>
          <w:sz w:val="28"/>
          <w:szCs w:val="36"/>
        </w:rPr>
        <w:t>申请</w:t>
      </w:r>
      <w:r>
        <w:rPr>
          <w:rFonts w:hint="eastAsia" w:ascii="仿宋_GB2312" w:hAnsi="宋体" w:cs="宋体"/>
          <w:bCs/>
          <w:sz w:val="28"/>
          <w:szCs w:val="36"/>
        </w:rPr>
        <w:t>投诉</w:t>
      </w:r>
      <w:r>
        <w:rPr>
          <w:rFonts w:hint="eastAsia" w:ascii="Times New Roman" w:hAnsi="Times New Roman"/>
          <w:bCs/>
          <w:kern w:val="0"/>
          <w:sz w:val="28"/>
          <w:szCs w:val="36"/>
        </w:rPr>
        <w:t>复议的日期。</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ascii="宋体" w:hAnsi="宋体"/>
          <w:bCs/>
          <w:sz w:val="28"/>
          <w:szCs w:val="28"/>
        </w:rPr>
        <w:t>46.3</w:t>
      </w:r>
      <w:r>
        <w:rPr>
          <w:rFonts w:hint="eastAsia" w:ascii="宋体" w:hAnsi="宋体"/>
          <w:bCs/>
          <w:sz w:val="28"/>
          <w:szCs w:val="28"/>
        </w:rPr>
        <w:t>投诉复议申请书应当由法定代表人或其授权代表签字，并加盖公章。法定代表人授权其他人办理投诉复议事宜，应当在正本中签署授权书；授权书应当载明被授权人的姓名、职务、授权范围和时间期限，并加盖公章。</w:t>
      </w:r>
    </w:p>
    <w:p>
      <w:pPr>
        <w:tabs>
          <w:tab w:val="left" w:pos="562"/>
          <w:tab w:val="left" w:pos="1129"/>
        </w:tabs>
        <w:adjustRightInd w:val="0"/>
        <w:snapToGrid w:val="0"/>
        <w:spacing w:line="560" w:lineRule="exact"/>
        <w:ind w:firstLine="560" w:firstLineChars="200"/>
        <w:rPr>
          <w:rFonts w:ascii="宋体" w:hAnsi="宋体"/>
          <w:b/>
          <w:sz w:val="28"/>
          <w:szCs w:val="28"/>
        </w:rPr>
      </w:pPr>
      <w:r>
        <w:rPr>
          <w:rFonts w:ascii="宋体" w:hAnsi="宋体"/>
          <w:bCs/>
          <w:sz w:val="28"/>
          <w:szCs w:val="28"/>
        </w:rPr>
        <w:t>46.4</w:t>
      </w:r>
      <w:r>
        <w:rPr>
          <w:rFonts w:hint="eastAsia" w:ascii="宋体" w:hAnsi="宋体"/>
          <w:bCs/>
          <w:sz w:val="28"/>
          <w:szCs w:val="28"/>
        </w:rPr>
        <w:t>受理、处理投诉复议申请部门及联系方式见【报价供应商须知前附表】。</w:t>
      </w:r>
    </w:p>
    <w:p>
      <w:pPr>
        <w:pStyle w:val="5"/>
        <w:keepNext w:val="0"/>
        <w:keepLines w:val="0"/>
        <w:adjustRightInd w:val="0"/>
        <w:snapToGrid w:val="0"/>
        <w:spacing w:before="120" w:beforeLines="50" w:after="120" w:afterLines="50" w:line="560" w:lineRule="exact"/>
        <w:jc w:val="center"/>
        <w:rPr>
          <w:b w:val="0"/>
        </w:rPr>
      </w:pPr>
      <w:bookmarkStart w:id="282" w:name="_Toc29994"/>
      <w:bookmarkStart w:id="283" w:name="_Toc132191229"/>
      <w:r>
        <w:rPr>
          <w:rFonts w:hint="eastAsia"/>
          <w:b w:val="0"/>
        </w:rPr>
        <w:t>八、签订合同</w:t>
      </w:r>
      <w:bookmarkEnd w:id="275"/>
      <w:bookmarkEnd w:id="276"/>
      <w:bookmarkEnd w:id="277"/>
      <w:bookmarkEnd w:id="278"/>
      <w:bookmarkEnd w:id="279"/>
      <w:bookmarkEnd w:id="280"/>
      <w:bookmarkEnd w:id="281"/>
      <w:bookmarkEnd w:id="282"/>
      <w:bookmarkEnd w:id="283"/>
    </w:p>
    <w:p>
      <w:pPr>
        <w:pStyle w:val="6"/>
        <w:keepNext w:val="0"/>
        <w:keepLines w:val="0"/>
        <w:adjustRightInd w:val="0"/>
        <w:snapToGrid w:val="0"/>
        <w:spacing w:before="0" w:after="0" w:line="560" w:lineRule="exact"/>
        <w:ind w:firstLine="560" w:firstLineChars="200"/>
        <w:rPr>
          <w:rFonts w:ascii="黑体" w:hAnsi="黑体"/>
          <w:b w:val="0"/>
        </w:rPr>
      </w:pPr>
      <w:bookmarkStart w:id="284" w:name="_Toc1893"/>
      <w:bookmarkStart w:id="285" w:name="_Toc14604"/>
      <w:bookmarkStart w:id="286" w:name="_Toc17606"/>
      <w:bookmarkStart w:id="287" w:name="_Toc112768429"/>
      <w:bookmarkStart w:id="288" w:name="_Toc9269"/>
      <w:bookmarkStart w:id="289" w:name="_Toc10720"/>
      <w:r>
        <w:rPr>
          <w:rFonts w:ascii="黑体" w:hAnsi="黑体"/>
          <w:b w:val="0"/>
        </w:rPr>
        <w:t>47.</w:t>
      </w:r>
      <w:r>
        <w:rPr>
          <w:rFonts w:hint="eastAsia" w:ascii="黑体" w:hAnsi="黑体"/>
          <w:b w:val="0"/>
        </w:rPr>
        <w:t>签订合同</w:t>
      </w:r>
      <w:bookmarkEnd w:id="284"/>
      <w:bookmarkEnd w:id="285"/>
      <w:bookmarkEnd w:id="286"/>
      <w:bookmarkEnd w:id="287"/>
      <w:bookmarkEnd w:id="288"/>
      <w:bookmarkEnd w:id="289"/>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47.1成交供应商在采购机构发出《成交通知书》之日起30日内，</w:t>
      </w:r>
      <w:r>
        <w:rPr>
          <w:rFonts w:hint="eastAsia" w:ascii="宋体" w:hAnsi="宋体"/>
          <w:bCs/>
          <w:sz w:val="28"/>
          <w:szCs w:val="28"/>
        </w:rPr>
        <w:t>依据谈判文件、成交供应商报价文件和澄清承诺，与采购单位签订采购合同</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47.2采购合同不得对谈判文件和成交供应商报价文件作实质性修改</w:t>
      </w:r>
      <w:r>
        <w:rPr>
          <w:rFonts w:hint="eastAsia" w:ascii="宋体" w:hAnsi="宋体"/>
          <w:bCs/>
          <w:sz w:val="28"/>
          <w:szCs w:val="28"/>
        </w:rPr>
        <w:t>，采购单位不得向成交供应商提出任何不合理要求，作为签订合同的条件。</w:t>
      </w:r>
      <w:r>
        <w:rPr>
          <w:rFonts w:ascii="宋体" w:hAnsi="宋体"/>
          <w:bCs/>
          <w:sz w:val="28"/>
          <w:szCs w:val="28"/>
        </w:rPr>
        <w:t>谈判文件、成交供应商报价文件、补充</w:t>
      </w:r>
      <w:r>
        <w:rPr>
          <w:rFonts w:hint="eastAsia" w:ascii="宋体" w:hAnsi="宋体"/>
          <w:bCs/>
          <w:sz w:val="28"/>
          <w:szCs w:val="28"/>
        </w:rPr>
        <w:t>文件、</w:t>
      </w:r>
      <w:r>
        <w:rPr>
          <w:rFonts w:ascii="宋体" w:hAnsi="宋体"/>
          <w:bCs/>
          <w:sz w:val="28"/>
          <w:szCs w:val="28"/>
        </w:rPr>
        <w:t>澄清承诺等，均为签订合同的依据。</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47.3签订合同后，成交供应商不得将成交项目</w:t>
      </w:r>
      <w:r>
        <w:rPr>
          <w:rFonts w:hint="eastAsia" w:ascii="宋体" w:hAnsi="宋体"/>
          <w:bCs/>
          <w:sz w:val="28"/>
          <w:szCs w:val="28"/>
        </w:rPr>
        <w:t>整体转包或将项目拆分后分别向他人转包，不得违反谈判文件、报价文件和合同约定，擅自将合同分包，一经查实将按有关规定进行严肃处理</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4</w:t>
      </w:r>
      <w:r>
        <w:rPr>
          <w:rFonts w:ascii="宋体" w:hAnsi="宋体"/>
          <w:bCs/>
          <w:sz w:val="28"/>
          <w:szCs w:val="28"/>
        </w:rPr>
        <w:t>7</w:t>
      </w:r>
      <w:r>
        <w:rPr>
          <w:rFonts w:hint="eastAsia" w:ascii="宋体" w:hAnsi="宋体"/>
          <w:bCs/>
          <w:sz w:val="28"/>
          <w:szCs w:val="28"/>
        </w:rPr>
        <w:t>.4未经甲方允许，乙方不得在合同未生效前履行合同相关义务。</w:t>
      </w:r>
    </w:p>
    <w:p>
      <w:pPr>
        <w:pStyle w:val="5"/>
        <w:keepNext w:val="0"/>
        <w:keepLines w:val="0"/>
        <w:adjustRightInd w:val="0"/>
        <w:snapToGrid w:val="0"/>
        <w:spacing w:before="120" w:beforeLines="50" w:after="120" w:afterLines="50" w:line="560" w:lineRule="exact"/>
        <w:ind w:firstLine="640" w:firstLineChars="200"/>
        <w:jc w:val="center"/>
        <w:rPr>
          <w:b w:val="0"/>
        </w:rPr>
      </w:pPr>
      <w:bookmarkStart w:id="290" w:name="_Toc19994"/>
      <w:bookmarkStart w:id="291" w:name="_Toc10716"/>
      <w:bookmarkStart w:id="292" w:name="_Toc21921"/>
      <w:bookmarkStart w:id="293" w:name="_Toc9361"/>
      <w:bookmarkStart w:id="294" w:name="_Toc15781"/>
      <w:bookmarkStart w:id="295" w:name="_Toc1141"/>
      <w:bookmarkStart w:id="296" w:name="_Toc112317776"/>
      <w:bookmarkStart w:id="297" w:name="_Toc112768430"/>
      <w:bookmarkStart w:id="298" w:name="_Toc132191230"/>
      <w:r>
        <w:rPr>
          <w:rFonts w:hint="eastAsia"/>
          <w:b w:val="0"/>
        </w:rPr>
        <w:t>九、解释权限</w:t>
      </w:r>
      <w:bookmarkEnd w:id="290"/>
      <w:bookmarkEnd w:id="291"/>
      <w:bookmarkEnd w:id="292"/>
      <w:bookmarkEnd w:id="293"/>
      <w:bookmarkEnd w:id="294"/>
      <w:bookmarkEnd w:id="295"/>
      <w:bookmarkEnd w:id="296"/>
      <w:bookmarkEnd w:id="297"/>
      <w:bookmarkEnd w:id="298"/>
    </w:p>
    <w:p>
      <w:pPr>
        <w:pStyle w:val="6"/>
        <w:keepNext w:val="0"/>
        <w:keepLines w:val="0"/>
        <w:adjustRightInd w:val="0"/>
        <w:snapToGrid w:val="0"/>
        <w:spacing w:before="0" w:after="0" w:line="560" w:lineRule="exact"/>
        <w:ind w:firstLine="560" w:firstLineChars="200"/>
        <w:rPr>
          <w:rFonts w:ascii="黑体" w:hAnsi="黑体"/>
          <w:b w:val="0"/>
        </w:rPr>
      </w:pPr>
      <w:bookmarkStart w:id="299" w:name="_Toc11275"/>
      <w:bookmarkStart w:id="300" w:name="_Toc7554"/>
      <w:bookmarkStart w:id="301" w:name="_Toc3720"/>
      <w:bookmarkStart w:id="302" w:name="_Toc27241"/>
      <w:bookmarkStart w:id="303" w:name="_Toc20741"/>
      <w:bookmarkStart w:id="304" w:name="_Toc112768431"/>
      <w:r>
        <w:rPr>
          <w:rFonts w:ascii="黑体" w:hAnsi="黑体"/>
          <w:b w:val="0"/>
        </w:rPr>
        <w:t>48.</w:t>
      </w:r>
      <w:r>
        <w:rPr>
          <w:rFonts w:hint="eastAsia" w:ascii="黑体" w:hAnsi="黑体"/>
          <w:b w:val="0"/>
        </w:rPr>
        <w:t>解释权限</w:t>
      </w:r>
      <w:bookmarkEnd w:id="299"/>
      <w:bookmarkEnd w:id="300"/>
      <w:bookmarkEnd w:id="301"/>
      <w:bookmarkEnd w:id="302"/>
      <w:bookmarkEnd w:id="303"/>
      <w:bookmarkEnd w:id="304"/>
    </w:p>
    <w:p>
      <w:pPr>
        <w:adjustRightInd w:val="0"/>
        <w:snapToGrid w:val="0"/>
        <w:spacing w:line="560" w:lineRule="exact"/>
        <w:ind w:firstLine="560" w:firstLineChars="200"/>
        <w:rPr>
          <w:rFonts w:eastAsia="黑体"/>
          <w:bCs/>
          <w:sz w:val="32"/>
          <w:szCs w:val="32"/>
        </w:rPr>
      </w:pPr>
      <w:r>
        <w:rPr>
          <w:rFonts w:ascii="宋体" w:hAnsi="宋体"/>
          <w:bCs/>
          <w:sz w:val="28"/>
          <w:szCs w:val="28"/>
        </w:rPr>
        <w:t>48.1</w:t>
      </w:r>
      <w:r>
        <w:rPr>
          <w:rFonts w:hint="eastAsia"/>
          <w:bCs/>
          <w:sz w:val="28"/>
          <w:szCs w:val="28"/>
        </w:rPr>
        <w:t>本谈判文件由采购机构负责解释。</w:t>
      </w:r>
    </w:p>
    <w:p>
      <w:pPr>
        <w:pStyle w:val="22"/>
        <w:adjustRightInd w:val="0"/>
        <w:snapToGrid w:val="0"/>
        <w:spacing w:line="240" w:lineRule="atLeast"/>
        <w:jc w:val="center"/>
        <w:rPr>
          <w:rFonts w:hAnsi="宋体"/>
          <w:bCs/>
          <w:sz w:val="32"/>
          <w:szCs w:val="32"/>
        </w:rPr>
      </w:pPr>
      <w:bookmarkStart w:id="305" w:name="_Toc132191231"/>
      <w:bookmarkStart w:id="306" w:name="_Toc3131"/>
      <w:bookmarkStart w:id="307" w:name="_Toc2614"/>
    </w:p>
    <w:p>
      <w:pPr>
        <w:widowControl/>
        <w:ind w:firstLine="420" w:firstLineChars="200"/>
        <w:jc w:val="left"/>
        <w:rPr>
          <w:bCs/>
          <w:sz w:val="32"/>
          <w:szCs w:val="32"/>
        </w:rPr>
      </w:pPr>
      <w:r>
        <w:rPr>
          <w:bCs/>
        </w:rPr>
        <w:br w:type="page"/>
      </w:r>
    </w:p>
    <w:p>
      <w:pPr>
        <w:pStyle w:val="5"/>
        <w:spacing w:before="120" w:beforeLines="50" w:after="120" w:afterLines="50" w:line="560" w:lineRule="exact"/>
        <w:rPr>
          <w:rFonts w:cs="宋体" w:asciiTheme="minorEastAsia" w:hAnsiTheme="minorEastAsia" w:eastAsiaTheme="minorEastAsia"/>
          <w:sz w:val="28"/>
          <w:szCs w:val="28"/>
        </w:rPr>
      </w:pPr>
      <w:bookmarkStart w:id="308" w:name="_Toc22325"/>
      <w:r>
        <w:rPr>
          <w:rFonts w:hint="eastAsia" w:ascii="黑体" w:hAnsi="黑体" w:cs="黑体"/>
          <w:b w:val="0"/>
          <w:bCs w:val="0"/>
          <w:sz w:val="28"/>
          <w:szCs w:val="28"/>
        </w:rPr>
        <w:t>附页1 谈判文件更正确认函</w:t>
      </w:r>
      <w:bookmarkEnd w:id="305"/>
      <w:bookmarkEnd w:id="306"/>
      <w:bookmarkEnd w:id="307"/>
      <w:bookmarkEnd w:id="308"/>
    </w:p>
    <w:p>
      <w:pPr>
        <w:spacing w:before="120" w:beforeLines="50" w:after="120" w:afterLines="50" w:line="560" w:lineRule="exact"/>
        <w:jc w:val="center"/>
        <w:rPr>
          <w:rFonts w:ascii="宋体" w:hAnsi="宋体" w:cs="宋体"/>
          <w:bCs/>
          <w:sz w:val="28"/>
          <w:szCs w:val="28"/>
        </w:rPr>
      </w:pPr>
      <w:r>
        <w:rPr>
          <w:rFonts w:hint="eastAsia" w:ascii="黑体" w:hAnsi="黑体" w:eastAsia="黑体" w:cs="黑体"/>
          <w:bCs/>
          <w:sz w:val="36"/>
          <w:szCs w:val="36"/>
        </w:rPr>
        <w:t>谈判文件更正确认函</w:t>
      </w:r>
    </w:p>
    <w:p>
      <w:pPr>
        <w:spacing w:line="560" w:lineRule="exact"/>
        <w:rPr>
          <w:rFonts w:ascii="宋体" w:hAnsi="宋体" w:cs="宋体"/>
          <w:bCs/>
          <w:sz w:val="28"/>
          <w:szCs w:val="28"/>
        </w:rPr>
      </w:pPr>
      <w:r>
        <w:rPr>
          <w:rFonts w:hint="eastAsia" w:ascii="宋体" w:hAnsi="宋体" w:cs="宋体"/>
          <w:bCs/>
          <w:sz w:val="28"/>
          <w:szCs w:val="28"/>
          <w:u w:val="single"/>
        </w:rPr>
        <w:t>（采购机构名称）</w:t>
      </w:r>
      <w:r>
        <w:rPr>
          <w:rFonts w:hint="eastAsia" w:ascii="宋体" w:hAnsi="宋体" w:cs="宋体"/>
          <w:bCs/>
          <w:sz w:val="28"/>
          <w:szCs w:val="28"/>
        </w:rPr>
        <w:t>：</w:t>
      </w:r>
    </w:p>
    <w:p>
      <w:pPr>
        <w:spacing w:line="560" w:lineRule="exact"/>
        <w:ind w:firstLine="560" w:firstLineChars="200"/>
        <w:rPr>
          <w:rFonts w:ascii="宋体" w:hAnsi="宋体" w:cs="宋体"/>
          <w:bCs/>
          <w:sz w:val="28"/>
          <w:szCs w:val="28"/>
        </w:rPr>
      </w:pPr>
      <w:r>
        <w:rPr>
          <w:rFonts w:hint="eastAsia" w:ascii="宋体" w:hAnsi="宋体" w:cs="宋体"/>
          <w:bCs/>
          <w:sz w:val="28"/>
          <w:szCs w:val="28"/>
        </w:rPr>
        <w:t>我单位对</w:t>
      </w:r>
      <w:r>
        <w:rPr>
          <w:rFonts w:hint="eastAsia" w:ascii="宋体" w:hAnsi="宋体" w:cs="宋体"/>
          <w:bCs/>
          <w:sz w:val="28"/>
          <w:szCs w:val="28"/>
          <w:u w:val="single"/>
        </w:rPr>
        <w:t xml:space="preserve">        </w:t>
      </w:r>
      <w:r>
        <w:rPr>
          <w:rFonts w:hint="eastAsia" w:ascii="宋体" w:hAnsi="宋体" w:cs="宋体"/>
          <w:bCs/>
          <w:sz w:val="28"/>
          <w:szCs w:val="28"/>
        </w:rPr>
        <w:t>采购项目（项目编号：</w:t>
      </w:r>
      <w:r>
        <w:rPr>
          <w:rFonts w:hint="eastAsia" w:ascii="宋体" w:hAnsi="宋体" w:cs="宋体"/>
          <w:bCs/>
          <w:sz w:val="28"/>
          <w:szCs w:val="28"/>
          <w:u w:val="single"/>
        </w:rPr>
        <w:t xml:space="preserve">      </w:t>
      </w:r>
      <w:r>
        <w:rPr>
          <w:rFonts w:hint="eastAsia" w:ascii="宋体" w:hAnsi="宋体" w:cs="宋体"/>
          <w:bCs/>
          <w:sz w:val="28"/>
          <w:szCs w:val="28"/>
        </w:rPr>
        <w:t>）的谈判文件更正信息已收悉。</w:t>
      </w:r>
    </w:p>
    <w:p>
      <w:pPr>
        <w:spacing w:line="560" w:lineRule="exact"/>
        <w:ind w:left="680"/>
        <w:rPr>
          <w:rFonts w:ascii="宋体" w:hAnsi="宋体" w:cs="宋体"/>
          <w:bCs/>
          <w:sz w:val="28"/>
          <w:szCs w:val="28"/>
        </w:rPr>
      </w:pPr>
    </w:p>
    <w:p>
      <w:pPr>
        <w:spacing w:line="560" w:lineRule="exact"/>
        <w:ind w:left="680"/>
        <w:rPr>
          <w:rFonts w:ascii="宋体" w:hAnsi="宋体" w:cs="宋体"/>
          <w:bCs/>
          <w:sz w:val="28"/>
          <w:szCs w:val="28"/>
        </w:rPr>
      </w:pPr>
    </w:p>
    <w:p>
      <w:pPr>
        <w:spacing w:line="560" w:lineRule="exact"/>
        <w:ind w:left="680"/>
        <w:rPr>
          <w:rFonts w:ascii="宋体" w:hAnsi="宋体" w:cs="宋体"/>
          <w:bCs/>
          <w:sz w:val="28"/>
          <w:szCs w:val="28"/>
        </w:rPr>
      </w:pPr>
    </w:p>
    <w:p>
      <w:pPr>
        <w:spacing w:line="560" w:lineRule="exact"/>
        <w:rPr>
          <w:rFonts w:ascii="宋体" w:hAnsi="宋体" w:cs="宋体"/>
          <w:bCs/>
          <w:sz w:val="28"/>
          <w:szCs w:val="28"/>
        </w:rPr>
      </w:pPr>
    </w:p>
    <w:p>
      <w:pPr>
        <w:spacing w:line="560" w:lineRule="exact"/>
        <w:ind w:firstLine="3360" w:firstLineChars="1200"/>
        <w:rPr>
          <w:rFonts w:ascii="宋体" w:hAnsi="宋体" w:cs="宋体"/>
          <w:bCs/>
          <w:sz w:val="28"/>
          <w:szCs w:val="28"/>
          <w:lang w:val="zh-CN"/>
        </w:rPr>
      </w:pPr>
      <w:r>
        <w:rPr>
          <w:rFonts w:hint="eastAsia" w:ascii="宋体" w:hAnsi="宋体" w:cs="宋体"/>
          <w:bCs/>
          <w:sz w:val="28"/>
          <w:szCs w:val="28"/>
          <w:lang w:val="zh-CN"/>
        </w:rPr>
        <w:t>报价供应商全称：（盖章）</w:t>
      </w:r>
    </w:p>
    <w:p>
      <w:pPr>
        <w:spacing w:line="560" w:lineRule="exact"/>
        <w:ind w:firstLine="3360" w:firstLineChars="1200"/>
        <w:rPr>
          <w:rFonts w:ascii="宋体" w:hAnsi="宋体" w:cs="宋体"/>
          <w:bCs/>
          <w:sz w:val="28"/>
          <w:szCs w:val="28"/>
          <w:lang w:val="zh-CN"/>
        </w:rPr>
      </w:pPr>
      <w:r>
        <w:rPr>
          <w:rFonts w:hint="eastAsia" w:ascii="宋体" w:hAnsi="宋体" w:cs="宋体"/>
          <w:bCs/>
          <w:sz w:val="28"/>
          <w:szCs w:val="28"/>
          <w:lang w:val="zh-CN"/>
        </w:rPr>
        <w:t>法定代表人（或授权代表）：（签字）</w:t>
      </w:r>
    </w:p>
    <w:p>
      <w:pPr>
        <w:spacing w:line="560" w:lineRule="exact"/>
        <w:ind w:firstLine="5600" w:firstLineChars="2000"/>
        <w:rPr>
          <w:rFonts w:ascii="宋体" w:hAnsi="宋体" w:cs="宋体"/>
          <w:bCs/>
          <w:sz w:val="28"/>
          <w:szCs w:val="28"/>
          <w:lang w:val="zh-CN"/>
        </w:rPr>
      </w:pPr>
      <w:r>
        <w:rPr>
          <w:rFonts w:hint="eastAsia" w:ascii="宋体" w:hAnsi="宋体" w:cs="宋体"/>
          <w:bCs/>
          <w:sz w:val="28"/>
          <w:szCs w:val="28"/>
          <w:u w:val="single"/>
        </w:rPr>
        <w:t xml:space="preserve">   </w:t>
      </w:r>
      <w:r>
        <w:rPr>
          <w:rFonts w:hint="eastAsia" w:ascii="宋体" w:hAnsi="宋体" w:cs="宋体"/>
          <w:bCs/>
          <w:sz w:val="28"/>
          <w:szCs w:val="28"/>
        </w:rPr>
        <w:t>年</w:t>
      </w:r>
      <w:r>
        <w:rPr>
          <w:rFonts w:hint="eastAsia" w:ascii="宋体" w:hAnsi="宋体" w:cs="宋体"/>
          <w:bCs/>
          <w:sz w:val="28"/>
          <w:szCs w:val="28"/>
          <w:u w:val="single"/>
        </w:rPr>
        <w:t xml:space="preserve">   </w:t>
      </w:r>
      <w:r>
        <w:rPr>
          <w:rFonts w:hint="eastAsia" w:ascii="宋体" w:hAnsi="宋体" w:cs="宋体"/>
          <w:bCs/>
          <w:sz w:val="28"/>
          <w:szCs w:val="28"/>
        </w:rPr>
        <w:t>月</w:t>
      </w:r>
      <w:r>
        <w:rPr>
          <w:rFonts w:hint="eastAsia" w:ascii="宋体" w:hAnsi="宋体" w:cs="宋体"/>
          <w:bCs/>
          <w:sz w:val="28"/>
          <w:szCs w:val="28"/>
          <w:u w:val="single"/>
        </w:rPr>
        <w:t xml:space="preserve">   </w:t>
      </w:r>
      <w:r>
        <w:rPr>
          <w:rFonts w:hint="eastAsia" w:ascii="宋体" w:hAnsi="宋体" w:cs="宋体"/>
          <w:bCs/>
          <w:sz w:val="28"/>
          <w:szCs w:val="28"/>
        </w:rPr>
        <w:t>日</w:t>
      </w:r>
    </w:p>
    <w:p>
      <w:pPr>
        <w:spacing w:line="560" w:lineRule="exact"/>
        <w:ind w:firstLine="624"/>
        <w:rPr>
          <w:rFonts w:ascii="宋体" w:hAnsi="宋体" w:cs="宋体"/>
          <w:bCs/>
          <w:sz w:val="28"/>
          <w:szCs w:val="28"/>
        </w:rPr>
      </w:pPr>
    </w:p>
    <w:p>
      <w:pPr>
        <w:pStyle w:val="5"/>
        <w:spacing w:before="120" w:beforeLines="50" w:after="120" w:afterLines="50" w:line="560" w:lineRule="exact"/>
        <w:rPr>
          <w:rFonts w:cs="宋体" w:asciiTheme="minorEastAsia" w:hAnsiTheme="minorEastAsia" w:eastAsiaTheme="minorEastAsia"/>
          <w:sz w:val="28"/>
          <w:szCs w:val="28"/>
        </w:rPr>
      </w:pPr>
      <w:r>
        <w:rPr>
          <w:b w:val="0"/>
        </w:rPr>
        <w:br w:type="page"/>
      </w:r>
      <w:bookmarkStart w:id="309" w:name="_Toc15835"/>
      <w:bookmarkStart w:id="310" w:name="_Toc12801"/>
      <w:bookmarkStart w:id="311" w:name="_Toc26729"/>
      <w:bookmarkStart w:id="312" w:name="_Toc132191232"/>
      <w:bookmarkStart w:id="313" w:name="_Toc26693"/>
      <w:bookmarkStart w:id="314" w:name="_Toc112768435"/>
      <w:bookmarkStart w:id="315" w:name="_Toc23299"/>
      <w:bookmarkStart w:id="316" w:name="_Toc9618"/>
      <w:r>
        <w:rPr>
          <w:rFonts w:hint="eastAsia" w:ascii="黑体" w:hAnsi="黑体" w:cs="黑体"/>
          <w:b w:val="0"/>
          <w:bCs w:val="0"/>
          <w:sz w:val="28"/>
          <w:szCs w:val="28"/>
        </w:rPr>
        <w:t>附页2 质疑函（格式）</w:t>
      </w:r>
      <w:bookmarkEnd w:id="309"/>
      <w:bookmarkEnd w:id="310"/>
      <w:bookmarkEnd w:id="311"/>
      <w:bookmarkEnd w:id="312"/>
    </w:p>
    <w:p>
      <w:pPr>
        <w:spacing w:line="560" w:lineRule="exact"/>
        <w:jc w:val="center"/>
        <w:rPr>
          <w:rFonts w:ascii="黑体" w:hAnsi="黑体" w:eastAsia="黑体" w:cs="黑体"/>
          <w:sz w:val="36"/>
          <w:szCs w:val="36"/>
        </w:rPr>
      </w:pPr>
      <w:r>
        <w:rPr>
          <w:rFonts w:hint="eastAsia" w:ascii="黑体" w:hAnsi="黑体" w:eastAsia="黑体" w:cs="黑体"/>
          <w:sz w:val="36"/>
          <w:szCs w:val="36"/>
        </w:rPr>
        <w:t>质  疑  函</w:t>
      </w:r>
    </w:p>
    <w:bookmarkEnd w:id="313"/>
    <w:bookmarkEnd w:id="314"/>
    <w:bookmarkEnd w:id="315"/>
    <w:bookmarkEnd w:id="316"/>
    <w:p>
      <w:pPr>
        <w:spacing w:line="560" w:lineRule="exact"/>
        <w:ind w:firstLine="560" w:firstLineChars="200"/>
        <w:rPr>
          <w:rFonts w:ascii="宋体" w:hAnsi="宋体"/>
          <w:kern w:val="0"/>
          <w:sz w:val="28"/>
          <w:szCs w:val="28"/>
        </w:rPr>
      </w:pPr>
      <w:r>
        <w:rPr>
          <w:rFonts w:hint="eastAsia" w:ascii="宋体" w:hAnsi="宋体"/>
          <w:kern w:val="0"/>
          <w:sz w:val="28"/>
          <w:szCs w:val="28"/>
        </w:rPr>
        <w:t>质疑供应商名称：</w:t>
      </w:r>
      <w:r>
        <w:rPr>
          <w:rFonts w:ascii="宋体" w:hAnsi="宋体"/>
          <w:sz w:val="28"/>
          <w:szCs w:val="28"/>
          <w:u w:val="single"/>
        </w:rPr>
        <w:t xml:space="preserve">                                         </w:t>
      </w:r>
    </w:p>
    <w:p>
      <w:pPr>
        <w:spacing w:line="560" w:lineRule="exact"/>
        <w:ind w:firstLine="560" w:firstLineChars="200"/>
        <w:rPr>
          <w:rFonts w:ascii="宋体" w:hAnsi="宋体"/>
          <w:kern w:val="0"/>
          <w:sz w:val="28"/>
          <w:szCs w:val="28"/>
        </w:rPr>
      </w:pPr>
      <w:r>
        <w:rPr>
          <w:rFonts w:hint="eastAsia" w:ascii="宋体" w:hAnsi="宋体"/>
          <w:kern w:val="0"/>
          <w:sz w:val="28"/>
          <w:szCs w:val="28"/>
        </w:rPr>
        <w:t>通讯地址：</w:t>
      </w:r>
      <w:r>
        <w:rPr>
          <w:rFonts w:ascii="宋体" w:hAnsi="宋体"/>
          <w:sz w:val="28"/>
          <w:szCs w:val="28"/>
          <w:u w:val="single"/>
        </w:rPr>
        <w:t xml:space="preserve">                                               </w:t>
      </w:r>
      <w:r>
        <w:rPr>
          <w:rFonts w:ascii="宋体" w:hAnsi="宋体"/>
          <w:kern w:val="0"/>
          <w:sz w:val="28"/>
          <w:szCs w:val="28"/>
        </w:rPr>
        <w:t xml:space="preserve">     </w:t>
      </w:r>
    </w:p>
    <w:p>
      <w:pPr>
        <w:spacing w:line="560" w:lineRule="exact"/>
        <w:ind w:firstLine="560" w:firstLineChars="200"/>
        <w:rPr>
          <w:rFonts w:ascii="宋体" w:hAnsi="宋体"/>
          <w:kern w:val="0"/>
          <w:sz w:val="28"/>
          <w:szCs w:val="28"/>
        </w:rPr>
      </w:pPr>
      <w:r>
        <w:rPr>
          <w:rFonts w:hint="eastAsia" w:ascii="宋体" w:hAnsi="宋体"/>
          <w:kern w:val="0"/>
          <w:sz w:val="28"/>
          <w:szCs w:val="28"/>
        </w:rPr>
        <w:t>法定代表人：</w:t>
      </w:r>
      <w:r>
        <w:rPr>
          <w:rFonts w:ascii="宋体" w:hAnsi="宋体"/>
          <w:sz w:val="28"/>
          <w:szCs w:val="28"/>
          <w:u w:val="single"/>
        </w:rPr>
        <w:t xml:space="preserve">                   </w:t>
      </w:r>
      <w:r>
        <w:rPr>
          <w:rFonts w:hint="eastAsia" w:ascii="宋体" w:hAnsi="宋体"/>
          <w:kern w:val="0"/>
          <w:sz w:val="28"/>
          <w:szCs w:val="28"/>
        </w:rPr>
        <w:t>联系电话：</w:t>
      </w:r>
      <w:r>
        <w:rPr>
          <w:rFonts w:ascii="宋体" w:hAnsi="宋体"/>
          <w:sz w:val="28"/>
          <w:szCs w:val="28"/>
          <w:u w:val="single"/>
        </w:rPr>
        <w:t xml:space="preserve">                </w:t>
      </w:r>
    </w:p>
    <w:p>
      <w:pPr>
        <w:spacing w:line="560" w:lineRule="exact"/>
        <w:ind w:firstLine="560" w:firstLineChars="200"/>
        <w:rPr>
          <w:rFonts w:ascii="宋体" w:hAnsi="宋体"/>
          <w:kern w:val="0"/>
          <w:sz w:val="28"/>
          <w:szCs w:val="28"/>
        </w:rPr>
      </w:pPr>
      <w:r>
        <w:rPr>
          <w:rFonts w:hint="eastAsia" w:ascii="宋体" w:hAnsi="宋体"/>
          <w:kern w:val="0"/>
          <w:sz w:val="28"/>
          <w:szCs w:val="28"/>
        </w:rPr>
        <w:t>授权代表：</w:t>
      </w:r>
      <w:r>
        <w:rPr>
          <w:rFonts w:ascii="宋体" w:hAnsi="宋体"/>
          <w:sz w:val="28"/>
          <w:szCs w:val="28"/>
          <w:u w:val="single"/>
        </w:rPr>
        <w:t xml:space="preserve">                     </w:t>
      </w:r>
      <w:r>
        <w:rPr>
          <w:rFonts w:hint="eastAsia" w:ascii="宋体" w:hAnsi="宋体"/>
          <w:kern w:val="0"/>
          <w:sz w:val="28"/>
          <w:szCs w:val="28"/>
        </w:rPr>
        <w:t>联系电话：</w:t>
      </w:r>
      <w:r>
        <w:rPr>
          <w:rFonts w:ascii="宋体" w:hAnsi="宋体"/>
          <w:sz w:val="28"/>
          <w:szCs w:val="28"/>
          <w:u w:val="single"/>
        </w:rPr>
        <w:t xml:space="preserve">                </w:t>
      </w:r>
    </w:p>
    <w:p>
      <w:pPr>
        <w:spacing w:before="240" w:beforeLines="100" w:line="560" w:lineRule="exact"/>
        <w:rPr>
          <w:rFonts w:ascii="宋体" w:hAnsi="宋体"/>
          <w:kern w:val="0"/>
          <w:sz w:val="28"/>
          <w:szCs w:val="28"/>
        </w:rPr>
      </w:pPr>
      <w:r>
        <w:rPr>
          <w:rFonts w:hint="eastAsia" w:ascii="宋体" w:hAnsi="宋体"/>
          <w:kern w:val="0"/>
          <w:sz w:val="28"/>
          <w:szCs w:val="28"/>
          <w:u w:val="single"/>
        </w:rPr>
        <w:t>（质疑受理单位名称）</w:t>
      </w:r>
      <w:r>
        <w:rPr>
          <w:rFonts w:hint="eastAsia" w:ascii="宋体" w:hAnsi="宋体"/>
          <w:kern w:val="0"/>
          <w:sz w:val="28"/>
          <w:szCs w:val="28"/>
        </w:rPr>
        <w:t>：</w:t>
      </w:r>
    </w:p>
    <w:p>
      <w:pPr>
        <w:spacing w:line="560" w:lineRule="exact"/>
        <w:ind w:firstLine="560" w:firstLineChars="200"/>
        <w:rPr>
          <w:rFonts w:ascii="宋体" w:hAnsi="宋体"/>
          <w:kern w:val="0"/>
          <w:sz w:val="28"/>
          <w:szCs w:val="28"/>
        </w:rPr>
      </w:pPr>
      <w:r>
        <w:rPr>
          <w:rFonts w:hint="eastAsia" w:ascii="宋体" w:hAnsi="宋体"/>
          <w:kern w:val="0"/>
          <w:sz w:val="28"/>
          <w:szCs w:val="28"/>
        </w:rPr>
        <w:t>针对你单位组织的</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kern w:val="0"/>
          <w:sz w:val="28"/>
          <w:szCs w:val="28"/>
        </w:rPr>
        <w:t>采购项目（项目编号：</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kern w:val="0"/>
          <w:sz w:val="28"/>
          <w:szCs w:val="28"/>
        </w:rPr>
        <w:t>），我单位现就以下问题提出质疑：</w:t>
      </w:r>
    </w:p>
    <w:p>
      <w:pPr>
        <w:spacing w:line="560" w:lineRule="exact"/>
        <w:ind w:firstLine="560" w:firstLineChars="200"/>
        <w:rPr>
          <w:rFonts w:ascii="宋体" w:hAnsi="宋体"/>
          <w:kern w:val="0"/>
          <w:sz w:val="28"/>
          <w:szCs w:val="28"/>
        </w:rPr>
      </w:pPr>
      <w:r>
        <w:rPr>
          <w:rFonts w:hint="eastAsia" w:ascii="宋体" w:hAnsi="宋体"/>
          <w:kern w:val="0"/>
          <w:sz w:val="28"/>
          <w:szCs w:val="28"/>
        </w:rPr>
        <w:t>一、质疑事项和与之相关的请求</w:t>
      </w:r>
    </w:p>
    <w:p>
      <w:pPr>
        <w:spacing w:line="560" w:lineRule="exact"/>
        <w:ind w:firstLine="560" w:firstLineChars="200"/>
        <w:rPr>
          <w:rFonts w:ascii="宋体" w:hAnsi="宋体"/>
          <w:kern w:val="0"/>
          <w:sz w:val="28"/>
          <w:szCs w:val="28"/>
        </w:rPr>
      </w:pPr>
      <w:r>
        <w:rPr>
          <w:rFonts w:hint="eastAsia" w:ascii="宋体" w:hAnsi="宋体"/>
          <w:kern w:val="0"/>
          <w:sz w:val="28"/>
          <w:szCs w:val="28"/>
        </w:rPr>
        <w:t>二、事实依据</w:t>
      </w:r>
    </w:p>
    <w:p>
      <w:pPr>
        <w:spacing w:line="560" w:lineRule="exact"/>
        <w:ind w:firstLine="560" w:firstLineChars="200"/>
        <w:rPr>
          <w:rFonts w:ascii="宋体" w:hAnsi="宋体"/>
          <w:kern w:val="0"/>
          <w:sz w:val="28"/>
          <w:szCs w:val="28"/>
        </w:rPr>
      </w:pPr>
      <w:r>
        <w:rPr>
          <w:rFonts w:hint="eastAsia" w:ascii="宋体" w:hAnsi="宋体"/>
          <w:kern w:val="0"/>
          <w:sz w:val="28"/>
          <w:szCs w:val="28"/>
        </w:rPr>
        <w:t>三、法律依据</w:t>
      </w:r>
    </w:p>
    <w:p>
      <w:pPr>
        <w:spacing w:line="560" w:lineRule="exact"/>
        <w:ind w:firstLine="560" w:firstLineChars="200"/>
        <w:rPr>
          <w:rFonts w:ascii="宋体" w:hAnsi="宋体"/>
          <w:kern w:val="0"/>
          <w:sz w:val="28"/>
          <w:szCs w:val="28"/>
        </w:rPr>
      </w:pPr>
      <w:r>
        <w:rPr>
          <w:rFonts w:hint="eastAsia" w:ascii="宋体" w:hAnsi="宋体"/>
          <w:kern w:val="0"/>
          <w:sz w:val="28"/>
          <w:szCs w:val="28"/>
        </w:rPr>
        <w:t>……</w:t>
      </w:r>
    </w:p>
    <w:p>
      <w:pPr>
        <w:spacing w:line="560" w:lineRule="exact"/>
        <w:ind w:firstLine="560" w:firstLineChars="200"/>
        <w:rPr>
          <w:rFonts w:ascii="宋体" w:hAnsi="宋体"/>
          <w:kern w:val="0"/>
          <w:sz w:val="28"/>
          <w:szCs w:val="28"/>
        </w:rPr>
      </w:pPr>
    </w:p>
    <w:p>
      <w:pPr>
        <w:spacing w:line="560" w:lineRule="exact"/>
        <w:ind w:firstLine="560" w:firstLineChars="200"/>
        <w:rPr>
          <w:rFonts w:ascii="宋体" w:hAnsi="宋体"/>
          <w:kern w:val="0"/>
          <w:sz w:val="28"/>
          <w:szCs w:val="28"/>
        </w:rPr>
      </w:pPr>
    </w:p>
    <w:p>
      <w:pPr>
        <w:spacing w:line="560" w:lineRule="exact"/>
        <w:ind w:firstLine="560" w:firstLineChars="200"/>
        <w:rPr>
          <w:rFonts w:ascii="宋体" w:hAnsi="宋体"/>
          <w:kern w:val="0"/>
          <w:sz w:val="28"/>
          <w:szCs w:val="28"/>
        </w:rPr>
      </w:pPr>
    </w:p>
    <w:p>
      <w:pPr>
        <w:spacing w:line="560" w:lineRule="exact"/>
        <w:ind w:firstLine="560" w:firstLineChars="200"/>
        <w:rPr>
          <w:rFonts w:ascii="宋体" w:hAnsi="宋体"/>
          <w:kern w:val="0"/>
          <w:sz w:val="28"/>
          <w:szCs w:val="28"/>
        </w:rPr>
      </w:pPr>
    </w:p>
    <w:p>
      <w:pPr>
        <w:spacing w:line="560" w:lineRule="exact"/>
        <w:ind w:firstLine="3080" w:firstLineChars="1100"/>
        <w:rPr>
          <w:rFonts w:ascii="宋体" w:hAnsi="宋体"/>
          <w:kern w:val="0"/>
          <w:sz w:val="28"/>
          <w:szCs w:val="28"/>
        </w:rPr>
      </w:pPr>
      <w:bookmarkStart w:id="317" w:name="_Toc10021"/>
      <w:bookmarkStart w:id="318" w:name="_Toc19368"/>
      <w:bookmarkStart w:id="319" w:name="_Toc9085"/>
      <w:bookmarkStart w:id="320" w:name="_Toc112768436"/>
      <w:r>
        <w:rPr>
          <w:rFonts w:hint="eastAsia" w:ascii="宋体" w:hAnsi="宋体"/>
          <w:kern w:val="0"/>
          <w:sz w:val="28"/>
          <w:szCs w:val="28"/>
        </w:rPr>
        <w:t xml:space="preserve"> </w:t>
      </w:r>
      <w:r>
        <w:rPr>
          <w:rFonts w:ascii="宋体" w:hAnsi="宋体"/>
          <w:kern w:val="0"/>
          <w:sz w:val="28"/>
          <w:szCs w:val="28"/>
        </w:rPr>
        <w:t xml:space="preserve">          </w:t>
      </w:r>
      <w:r>
        <w:rPr>
          <w:rFonts w:hint="eastAsia" w:ascii="宋体" w:hAnsi="宋体"/>
          <w:kern w:val="0"/>
          <w:sz w:val="28"/>
          <w:szCs w:val="28"/>
        </w:rPr>
        <w:t>质疑供应商名称：（盖章）</w:t>
      </w:r>
    </w:p>
    <w:p>
      <w:pPr>
        <w:spacing w:line="560" w:lineRule="exact"/>
        <w:ind w:firstLine="560" w:firstLineChars="200"/>
        <w:jc w:val="center"/>
        <w:rPr>
          <w:rFonts w:ascii="宋体" w:hAnsi="宋体"/>
          <w:kern w:val="0"/>
          <w:sz w:val="28"/>
          <w:szCs w:val="28"/>
        </w:rPr>
      </w:pPr>
      <w:r>
        <w:rPr>
          <w:rFonts w:hint="eastAsia" w:ascii="宋体" w:hAnsi="宋体"/>
          <w:kern w:val="0"/>
          <w:sz w:val="28"/>
          <w:szCs w:val="28"/>
        </w:rPr>
        <w:t xml:space="preserve">      </w:t>
      </w:r>
      <w:r>
        <w:rPr>
          <w:rFonts w:ascii="宋体" w:hAnsi="宋体"/>
          <w:kern w:val="0"/>
          <w:sz w:val="28"/>
          <w:szCs w:val="28"/>
        </w:rPr>
        <w:t xml:space="preserve">                   </w:t>
      </w:r>
      <w:r>
        <w:rPr>
          <w:rFonts w:hint="eastAsia" w:ascii="宋体" w:hAnsi="宋体"/>
          <w:kern w:val="0"/>
          <w:sz w:val="28"/>
          <w:szCs w:val="28"/>
        </w:rPr>
        <w:t xml:space="preserve">  </w:t>
      </w:r>
      <w:r>
        <w:rPr>
          <w:snapToGrid w:val="0"/>
          <w:sz w:val="28"/>
          <w:szCs w:val="28"/>
          <w:lang w:val="zh-CN"/>
        </w:rPr>
        <w:t>法定代表人（或授权代表）：（签字）</w:t>
      </w:r>
    </w:p>
    <w:p>
      <w:pPr>
        <w:spacing w:line="560" w:lineRule="exact"/>
        <w:ind w:firstLine="560" w:firstLineChars="200"/>
        <w:jc w:val="center"/>
        <w:rPr>
          <w:rFonts w:ascii="宋体" w:hAnsi="宋体"/>
          <w:kern w:val="0"/>
          <w:sz w:val="28"/>
          <w:szCs w:val="28"/>
        </w:rPr>
      </w:pP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 xml:space="preserve">  </w:t>
      </w:r>
      <w:r>
        <w:rPr>
          <w:snapToGrid w:val="0"/>
          <w:sz w:val="28"/>
          <w:szCs w:val="28"/>
          <w:lang w:val="zh-CN"/>
        </w:rPr>
        <w:t xml:space="preserve"> </w:t>
      </w: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pStyle w:val="5"/>
        <w:spacing w:before="120" w:beforeLines="50" w:after="120" w:afterLines="50" w:line="560" w:lineRule="exact"/>
        <w:rPr>
          <w:rFonts w:cs="宋体" w:asciiTheme="minorEastAsia" w:hAnsiTheme="minorEastAsia" w:eastAsiaTheme="minorEastAsia"/>
          <w:sz w:val="28"/>
          <w:szCs w:val="28"/>
        </w:rPr>
      </w:pPr>
      <w:r>
        <w:rPr>
          <w:b w:val="0"/>
        </w:rPr>
        <w:br w:type="page"/>
      </w:r>
      <w:bookmarkStart w:id="321" w:name="_Toc27162"/>
      <w:bookmarkStart w:id="322" w:name="_Toc28425"/>
      <w:bookmarkStart w:id="323" w:name="_Toc132191233"/>
      <w:bookmarkStart w:id="324" w:name="_Toc17167"/>
      <w:bookmarkStart w:id="325" w:name="_Toc9615"/>
      <w:bookmarkStart w:id="326" w:name="_Toc6068"/>
      <w:bookmarkStart w:id="327" w:name="_Toc27055"/>
      <w:r>
        <w:rPr>
          <w:rFonts w:hint="eastAsia" w:ascii="黑体" w:hAnsi="黑体" w:cs="黑体"/>
          <w:b w:val="0"/>
          <w:bCs w:val="0"/>
          <w:sz w:val="28"/>
          <w:szCs w:val="28"/>
        </w:rPr>
        <w:t>附页3 投诉书（格式）</w:t>
      </w:r>
      <w:bookmarkEnd w:id="321"/>
      <w:bookmarkEnd w:id="322"/>
      <w:bookmarkEnd w:id="323"/>
      <w:bookmarkEnd w:id="324"/>
      <w:bookmarkEnd w:id="325"/>
      <w:bookmarkEnd w:id="326"/>
      <w:bookmarkEnd w:id="327"/>
    </w:p>
    <w:p>
      <w:pPr>
        <w:spacing w:line="560" w:lineRule="exact"/>
        <w:jc w:val="center"/>
        <w:rPr>
          <w:rFonts w:hint="eastAsia" w:ascii="黑体" w:hAnsi="黑体" w:eastAsia="黑体" w:cs="黑体"/>
          <w:sz w:val="36"/>
          <w:szCs w:val="36"/>
        </w:rPr>
      </w:pPr>
    </w:p>
    <w:p>
      <w:pPr>
        <w:spacing w:line="560" w:lineRule="exact"/>
        <w:jc w:val="center"/>
        <w:rPr>
          <w:rFonts w:ascii="黑体" w:hAnsi="黑体" w:eastAsia="黑体" w:cs="黑体"/>
          <w:sz w:val="36"/>
          <w:szCs w:val="36"/>
        </w:rPr>
      </w:pPr>
      <w:r>
        <w:rPr>
          <w:rFonts w:hint="eastAsia" w:ascii="黑体" w:hAnsi="黑体" w:eastAsia="黑体" w:cs="黑体"/>
          <w:sz w:val="36"/>
          <w:szCs w:val="36"/>
        </w:rPr>
        <w:t>投  诉  书</w:t>
      </w:r>
    </w:p>
    <w:bookmarkEnd w:id="317"/>
    <w:bookmarkEnd w:id="318"/>
    <w:bookmarkEnd w:id="319"/>
    <w:bookmarkEnd w:id="320"/>
    <w:p>
      <w:pPr>
        <w:spacing w:line="560" w:lineRule="exact"/>
        <w:ind w:firstLine="560" w:firstLineChars="200"/>
        <w:rPr>
          <w:rFonts w:ascii="宋体" w:hAnsi="宋体"/>
          <w:kern w:val="0"/>
          <w:sz w:val="28"/>
          <w:szCs w:val="28"/>
        </w:rPr>
      </w:pPr>
      <w:r>
        <w:rPr>
          <w:rFonts w:hint="eastAsia" w:ascii="宋体" w:hAnsi="宋体"/>
          <w:kern w:val="0"/>
          <w:sz w:val="28"/>
          <w:szCs w:val="28"/>
        </w:rPr>
        <w:t>投诉人名称：</w:t>
      </w:r>
      <w:r>
        <w:rPr>
          <w:rFonts w:ascii="宋体" w:hAnsi="宋体"/>
          <w:sz w:val="28"/>
          <w:szCs w:val="28"/>
          <w:u w:val="single"/>
        </w:rPr>
        <w:t xml:space="preserve">                                      </w:t>
      </w:r>
    </w:p>
    <w:p>
      <w:pPr>
        <w:spacing w:line="560" w:lineRule="exact"/>
        <w:ind w:firstLine="560" w:firstLineChars="200"/>
        <w:rPr>
          <w:rFonts w:ascii="宋体" w:hAnsi="宋体"/>
          <w:kern w:val="0"/>
          <w:sz w:val="28"/>
          <w:szCs w:val="28"/>
        </w:rPr>
      </w:pPr>
      <w:r>
        <w:rPr>
          <w:rFonts w:hint="eastAsia" w:ascii="宋体" w:hAnsi="宋体"/>
          <w:kern w:val="0"/>
          <w:sz w:val="28"/>
          <w:szCs w:val="28"/>
        </w:rPr>
        <w:t>通讯地址：</w:t>
      </w:r>
      <w:r>
        <w:rPr>
          <w:rFonts w:ascii="宋体" w:hAnsi="宋体"/>
          <w:sz w:val="28"/>
          <w:szCs w:val="28"/>
          <w:u w:val="single"/>
        </w:rPr>
        <w:t xml:space="preserve">                                        </w:t>
      </w:r>
    </w:p>
    <w:p>
      <w:pPr>
        <w:spacing w:line="560" w:lineRule="exact"/>
        <w:ind w:firstLine="560" w:firstLineChars="200"/>
        <w:rPr>
          <w:rFonts w:ascii="宋体" w:hAnsi="宋体"/>
          <w:kern w:val="0"/>
          <w:sz w:val="28"/>
          <w:szCs w:val="28"/>
        </w:rPr>
      </w:pPr>
      <w:r>
        <w:rPr>
          <w:rFonts w:hint="eastAsia" w:ascii="宋体" w:hAnsi="宋体"/>
          <w:kern w:val="0"/>
          <w:sz w:val="28"/>
          <w:szCs w:val="28"/>
        </w:rPr>
        <w:t>法定代表人：</w:t>
      </w:r>
      <w:r>
        <w:rPr>
          <w:rFonts w:ascii="宋体" w:hAnsi="宋体"/>
          <w:sz w:val="28"/>
          <w:szCs w:val="28"/>
          <w:u w:val="single"/>
        </w:rPr>
        <w:t xml:space="preserve">                   </w:t>
      </w:r>
      <w:r>
        <w:rPr>
          <w:rFonts w:hint="eastAsia" w:ascii="宋体" w:hAnsi="宋体"/>
          <w:kern w:val="0"/>
          <w:sz w:val="28"/>
          <w:szCs w:val="28"/>
        </w:rPr>
        <w:t>联系电话：</w:t>
      </w:r>
      <w:r>
        <w:rPr>
          <w:rFonts w:ascii="宋体" w:hAnsi="宋体"/>
          <w:sz w:val="28"/>
          <w:szCs w:val="28"/>
          <w:u w:val="single"/>
        </w:rPr>
        <w:t xml:space="preserve">         </w:t>
      </w:r>
    </w:p>
    <w:p>
      <w:pPr>
        <w:spacing w:line="560" w:lineRule="exact"/>
        <w:ind w:firstLine="560" w:firstLineChars="200"/>
        <w:rPr>
          <w:rFonts w:ascii="宋体" w:hAnsi="宋体"/>
          <w:kern w:val="0"/>
          <w:sz w:val="28"/>
          <w:szCs w:val="28"/>
        </w:rPr>
      </w:pPr>
      <w:r>
        <w:rPr>
          <w:rFonts w:hint="eastAsia" w:ascii="宋体" w:hAnsi="宋体"/>
          <w:kern w:val="0"/>
          <w:sz w:val="28"/>
          <w:szCs w:val="28"/>
        </w:rPr>
        <w:t>授权代表：</w:t>
      </w:r>
      <w:r>
        <w:rPr>
          <w:rFonts w:ascii="宋体" w:hAnsi="宋体"/>
          <w:sz w:val="28"/>
          <w:szCs w:val="28"/>
          <w:u w:val="single"/>
        </w:rPr>
        <w:t xml:space="preserve">                     </w:t>
      </w:r>
      <w:r>
        <w:rPr>
          <w:rFonts w:hint="eastAsia" w:ascii="宋体" w:hAnsi="宋体"/>
          <w:kern w:val="0"/>
          <w:sz w:val="28"/>
          <w:szCs w:val="28"/>
        </w:rPr>
        <w:t>联系电话：</w:t>
      </w:r>
      <w:r>
        <w:rPr>
          <w:rFonts w:ascii="宋体" w:hAnsi="宋体"/>
          <w:sz w:val="28"/>
          <w:szCs w:val="28"/>
          <w:u w:val="single"/>
        </w:rPr>
        <w:t xml:space="preserve">         </w:t>
      </w:r>
    </w:p>
    <w:p>
      <w:pPr>
        <w:spacing w:line="560" w:lineRule="exact"/>
        <w:ind w:firstLine="560" w:firstLineChars="200"/>
        <w:rPr>
          <w:rFonts w:ascii="宋体" w:hAnsi="宋体"/>
          <w:kern w:val="0"/>
          <w:sz w:val="28"/>
          <w:szCs w:val="28"/>
        </w:rPr>
      </w:pPr>
      <w:r>
        <w:rPr>
          <w:rFonts w:hint="eastAsia" w:ascii="宋体" w:hAnsi="宋体"/>
          <w:kern w:val="0"/>
          <w:sz w:val="28"/>
          <w:szCs w:val="28"/>
        </w:rPr>
        <w:t>被投诉人名称：</w:t>
      </w:r>
      <w:r>
        <w:rPr>
          <w:rFonts w:ascii="宋体" w:hAnsi="宋体"/>
          <w:sz w:val="28"/>
          <w:szCs w:val="28"/>
          <w:u w:val="single"/>
        </w:rPr>
        <w:t xml:space="preserve">                                    </w:t>
      </w:r>
    </w:p>
    <w:p>
      <w:pPr>
        <w:spacing w:line="560" w:lineRule="exact"/>
        <w:ind w:firstLine="560" w:firstLineChars="200"/>
        <w:rPr>
          <w:rFonts w:ascii="宋体" w:hAnsi="宋体"/>
          <w:kern w:val="0"/>
          <w:sz w:val="28"/>
          <w:szCs w:val="28"/>
        </w:rPr>
      </w:pPr>
      <w:r>
        <w:rPr>
          <w:rFonts w:hint="eastAsia" w:ascii="宋体" w:hAnsi="宋体"/>
          <w:kern w:val="0"/>
          <w:sz w:val="28"/>
          <w:szCs w:val="28"/>
        </w:rPr>
        <w:t>通讯地址：</w:t>
      </w:r>
      <w:r>
        <w:rPr>
          <w:rFonts w:ascii="宋体" w:hAnsi="宋体"/>
          <w:sz w:val="28"/>
          <w:szCs w:val="28"/>
          <w:u w:val="single"/>
        </w:rPr>
        <w:t xml:space="preserve">                                        </w:t>
      </w:r>
    </w:p>
    <w:p>
      <w:pPr>
        <w:spacing w:line="560" w:lineRule="exact"/>
        <w:ind w:firstLine="560" w:firstLineChars="200"/>
        <w:rPr>
          <w:rFonts w:ascii="宋体" w:hAnsi="宋体"/>
          <w:kern w:val="0"/>
          <w:sz w:val="28"/>
          <w:szCs w:val="28"/>
        </w:rPr>
      </w:pPr>
      <w:r>
        <w:rPr>
          <w:rFonts w:hint="eastAsia" w:ascii="宋体" w:hAnsi="宋体"/>
          <w:kern w:val="0"/>
          <w:sz w:val="28"/>
          <w:szCs w:val="28"/>
        </w:rPr>
        <w:t>联系人：</w:t>
      </w:r>
      <w:r>
        <w:rPr>
          <w:rFonts w:ascii="宋体" w:hAnsi="宋体"/>
          <w:sz w:val="28"/>
          <w:szCs w:val="28"/>
          <w:u w:val="single"/>
        </w:rPr>
        <w:t xml:space="preserve">                       </w:t>
      </w:r>
      <w:r>
        <w:rPr>
          <w:rFonts w:hint="eastAsia" w:ascii="宋体" w:hAnsi="宋体"/>
          <w:kern w:val="0"/>
          <w:sz w:val="28"/>
          <w:szCs w:val="28"/>
        </w:rPr>
        <w:t>联系电话：</w:t>
      </w:r>
      <w:r>
        <w:rPr>
          <w:rFonts w:ascii="宋体" w:hAnsi="宋体"/>
          <w:sz w:val="28"/>
          <w:szCs w:val="28"/>
          <w:u w:val="single"/>
        </w:rPr>
        <w:t xml:space="preserve">         </w:t>
      </w:r>
    </w:p>
    <w:p>
      <w:pPr>
        <w:spacing w:before="240" w:beforeLines="100" w:line="560" w:lineRule="exact"/>
        <w:rPr>
          <w:rFonts w:ascii="宋体" w:hAnsi="宋体"/>
          <w:kern w:val="0"/>
          <w:sz w:val="28"/>
          <w:szCs w:val="28"/>
        </w:rPr>
      </w:pPr>
      <w:r>
        <w:rPr>
          <w:rFonts w:hint="eastAsia" w:ascii="宋体" w:hAnsi="宋体"/>
          <w:kern w:val="0"/>
          <w:sz w:val="28"/>
          <w:szCs w:val="28"/>
          <w:u w:val="single"/>
        </w:rPr>
        <w:t>（投诉受理部门名称）</w:t>
      </w:r>
      <w:r>
        <w:rPr>
          <w:rFonts w:hint="eastAsia" w:ascii="宋体" w:hAnsi="宋体"/>
          <w:kern w:val="0"/>
          <w:sz w:val="28"/>
          <w:szCs w:val="28"/>
        </w:rPr>
        <w:t>：</w:t>
      </w:r>
    </w:p>
    <w:p>
      <w:pPr>
        <w:spacing w:line="560" w:lineRule="exact"/>
        <w:ind w:firstLine="560" w:firstLineChars="200"/>
        <w:rPr>
          <w:rFonts w:ascii="宋体" w:hAnsi="宋体"/>
          <w:kern w:val="0"/>
          <w:sz w:val="28"/>
          <w:szCs w:val="28"/>
        </w:rPr>
      </w:pPr>
      <w:r>
        <w:rPr>
          <w:rFonts w:hint="eastAsia" w:ascii="宋体" w:hAnsi="宋体"/>
          <w:kern w:val="0"/>
          <w:sz w:val="28"/>
          <w:szCs w:val="28"/>
        </w:rPr>
        <w:t>针对</w:t>
      </w:r>
      <w:r>
        <w:rPr>
          <w:rFonts w:hint="eastAsia" w:ascii="宋体" w:hAnsi="宋体"/>
          <w:kern w:val="0"/>
          <w:sz w:val="28"/>
          <w:szCs w:val="28"/>
          <w:u w:val="single"/>
        </w:rPr>
        <w:t>（质疑受理单位</w:t>
      </w:r>
      <w:r>
        <w:rPr>
          <w:rFonts w:hint="eastAsia" w:ascii="宋体" w:hAnsi="宋体"/>
          <w:sz w:val="28"/>
          <w:szCs w:val="28"/>
          <w:u w:val="single"/>
        </w:rPr>
        <w:t>名称）</w:t>
      </w:r>
      <w:r>
        <w:rPr>
          <w:rFonts w:hint="eastAsia" w:ascii="宋体" w:hAnsi="宋体"/>
          <w:kern w:val="0"/>
          <w:sz w:val="28"/>
          <w:szCs w:val="28"/>
        </w:rPr>
        <w:t>组织的</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kern w:val="0"/>
          <w:sz w:val="28"/>
          <w:szCs w:val="28"/>
        </w:rPr>
        <w:t>采购项目（项目编号：</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kern w:val="0"/>
          <w:sz w:val="28"/>
          <w:szCs w:val="28"/>
        </w:rPr>
        <w:t>），我单位现就以下问题提起投诉：</w:t>
      </w:r>
    </w:p>
    <w:p>
      <w:pPr>
        <w:spacing w:line="560" w:lineRule="exact"/>
        <w:ind w:firstLine="560" w:firstLineChars="200"/>
        <w:rPr>
          <w:rFonts w:ascii="宋体" w:hAnsi="宋体"/>
          <w:kern w:val="0"/>
          <w:sz w:val="28"/>
          <w:szCs w:val="28"/>
        </w:rPr>
      </w:pPr>
      <w:r>
        <w:rPr>
          <w:rFonts w:hint="eastAsia" w:ascii="宋体" w:hAnsi="宋体"/>
          <w:kern w:val="0"/>
          <w:sz w:val="28"/>
          <w:szCs w:val="28"/>
        </w:rPr>
        <w:t>一、投诉事项和与投诉事项相关的请求</w:t>
      </w:r>
    </w:p>
    <w:p>
      <w:pPr>
        <w:spacing w:line="560" w:lineRule="exact"/>
        <w:ind w:firstLine="560" w:firstLineChars="200"/>
        <w:rPr>
          <w:rFonts w:ascii="宋体" w:hAnsi="宋体"/>
          <w:kern w:val="0"/>
          <w:sz w:val="28"/>
          <w:szCs w:val="28"/>
        </w:rPr>
      </w:pPr>
      <w:r>
        <w:rPr>
          <w:rFonts w:hint="eastAsia" w:ascii="宋体" w:hAnsi="宋体"/>
          <w:kern w:val="0"/>
          <w:sz w:val="28"/>
          <w:szCs w:val="28"/>
        </w:rPr>
        <w:t>二、事实依据</w:t>
      </w:r>
    </w:p>
    <w:p>
      <w:pPr>
        <w:spacing w:line="560" w:lineRule="exact"/>
        <w:ind w:firstLine="560" w:firstLineChars="200"/>
        <w:rPr>
          <w:rFonts w:ascii="宋体" w:hAnsi="宋体"/>
          <w:kern w:val="0"/>
          <w:sz w:val="28"/>
          <w:szCs w:val="28"/>
        </w:rPr>
      </w:pPr>
      <w:r>
        <w:rPr>
          <w:rFonts w:hint="eastAsia" w:ascii="宋体" w:hAnsi="宋体"/>
          <w:kern w:val="0"/>
          <w:sz w:val="28"/>
          <w:szCs w:val="28"/>
        </w:rPr>
        <w:t>三、法律依据</w:t>
      </w:r>
    </w:p>
    <w:p>
      <w:pPr>
        <w:spacing w:line="560" w:lineRule="exact"/>
        <w:ind w:firstLine="560" w:firstLineChars="200"/>
        <w:rPr>
          <w:rFonts w:ascii="宋体" w:hAnsi="宋体"/>
          <w:kern w:val="0"/>
          <w:sz w:val="28"/>
          <w:szCs w:val="28"/>
        </w:rPr>
      </w:pPr>
      <w:r>
        <w:rPr>
          <w:rFonts w:hint="eastAsia" w:ascii="宋体" w:hAnsi="宋体"/>
          <w:kern w:val="0"/>
          <w:sz w:val="28"/>
          <w:szCs w:val="28"/>
        </w:rPr>
        <w:t>四、质疑和质疑答复情况及相关证明材料</w:t>
      </w:r>
    </w:p>
    <w:p>
      <w:pPr>
        <w:spacing w:line="560" w:lineRule="exact"/>
        <w:ind w:firstLine="560" w:firstLineChars="200"/>
        <w:rPr>
          <w:rFonts w:ascii="宋体" w:hAnsi="宋体"/>
          <w:kern w:val="0"/>
          <w:sz w:val="28"/>
          <w:szCs w:val="28"/>
        </w:rPr>
      </w:pPr>
      <w:r>
        <w:rPr>
          <w:rFonts w:ascii="宋体" w:hAnsi="宋体"/>
          <w:kern w:val="0"/>
          <w:sz w:val="28"/>
          <w:szCs w:val="28"/>
        </w:rPr>
        <w:t>……</w:t>
      </w:r>
    </w:p>
    <w:p>
      <w:pPr>
        <w:spacing w:line="560" w:lineRule="exact"/>
        <w:ind w:right="1120" w:firstLine="4116" w:firstLineChars="1470"/>
        <w:rPr>
          <w:rFonts w:ascii="宋体" w:hAnsi="宋体"/>
          <w:kern w:val="0"/>
          <w:sz w:val="28"/>
          <w:szCs w:val="28"/>
        </w:rPr>
      </w:pPr>
      <w:r>
        <w:rPr>
          <w:rFonts w:hint="eastAsia" w:ascii="宋体" w:hAnsi="宋体"/>
          <w:kern w:val="0"/>
          <w:sz w:val="28"/>
          <w:szCs w:val="28"/>
        </w:rPr>
        <w:t>投诉人名称：（盖章）</w:t>
      </w:r>
    </w:p>
    <w:p>
      <w:pPr>
        <w:spacing w:line="560" w:lineRule="exact"/>
        <w:ind w:firstLine="560" w:firstLineChars="200"/>
        <w:jc w:val="center"/>
        <w:rPr>
          <w:rFonts w:ascii="宋体" w:hAnsi="宋体"/>
          <w:kern w:val="0"/>
          <w:sz w:val="28"/>
          <w:szCs w:val="28"/>
        </w:rPr>
      </w:pPr>
      <w:r>
        <w:rPr>
          <w:rFonts w:hint="eastAsia" w:ascii="宋体" w:hAnsi="宋体"/>
          <w:kern w:val="0"/>
          <w:sz w:val="28"/>
          <w:szCs w:val="28"/>
        </w:rPr>
        <w:t xml:space="preserve">        </w:t>
      </w:r>
      <w:r>
        <w:rPr>
          <w:rFonts w:ascii="宋体" w:hAnsi="宋体"/>
          <w:kern w:val="0"/>
          <w:sz w:val="28"/>
          <w:szCs w:val="28"/>
        </w:rPr>
        <w:t xml:space="preserve">            </w:t>
      </w:r>
      <w:r>
        <w:rPr>
          <w:snapToGrid w:val="0"/>
          <w:sz w:val="28"/>
          <w:szCs w:val="28"/>
          <w:lang w:val="zh-CN"/>
        </w:rPr>
        <w:t>法定代表人（或授权代表）：（签字）</w:t>
      </w:r>
    </w:p>
    <w:p>
      <w:pPr>
        <w:spacing w:line="560" w:lineRule="exact"/>
        <w:ind w:firstLine="1540" w:firstLineChars="550"/>
        <w:rPr>
          <w:rFonts w:ascii="仿宋_GB2312" w:cs="宋体"/>
          <w:bCs/>
          <w:sz w:val="28"/>
          <w:szCs w:val="28"/>
        </w:rPr>
      </w:pP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 xml:space="preserve"> </w:t>
      </w:r>
      <w:r>
        <w:rPr>
          <w:snapToGrid w:val="0"/>
          <w:sz w:val="28"/>
          <w:szCs w:val="28"/>
          <w:lang w:val="zh-CN"/>
        </w:rPr>
        <w:t xml:space="preserve"> </w:t>
      </w: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pStyle w:val="22"/>
        <w:adjustRightInd w:val="0"/>
        <w:snapToGrid w:val="0"/>
        <w:spacing w:line="240" w:lineRule="atLeast"/>
        <w:jc w:val="center"/>
        <w:rPr>
          <w:rFonts w:hAnsi="宋体"/>
          <w:bCs/>
          <w:sz w:val="32"/>
          <w:szCs w:val="32"/>
        </w:rPr>
        <w:sectPr>
          <w:headerReference r:id="rId8" w:type="first"/>
          <w:headerReference r:id="rId6" w:type="default"/>
          <w:footerReference r:id="rId9" w:type="default"/>
          <w:headerReference r:id="rId7" w:type="even"/>
          <w:pgSz w:w="11906" w:h="16838"/>
          <w:pgMar w:top="1418" w:right="1134" w:bottom="1418" w:left="1418" w:header="851" w:footer="851" w:gutter="0"/>
          <w:pgNumType w:fmt="numberInDash" w:start="1"/>
          <w:cols w:space="720" w:num="1"/>
        </w:sectPr>
      </w:pPr>
      <w:bookmarkStart w:id="328" w:name="_Toc26916"/>
      <w:bookmarkStart w:id="329" w:name="_Toc24070"/>
      <w:bookmarkStart w:id="330" w:name="_Toc112317783"/>
      <w:bookmarkStart w:id="331" w:name="_Toc32744"/>
      <w:bookmarkStart w:id="332" w:name="_Toc23671"/>
      <w:bookmarkStart w:id="333" w:name="_Toc112768437"/>
      <w:bookmarkStart w:id="334" w:name="_Toc14967"/>
      <w:bookmarkStart w:id="335" w:name="_Toc132191234"/>
    </w:p>
    <w:p>
      <w:pPr>
        <w:pStyle w:val="3"/>
        <w:keepNext w:val="0"/>
        <w:keepLines w:val="0"/>
        <w:adjustRightInd w:val="0"/>
        <w:snapToGrid w:val="0"/>
        <w:spacing w:line="560" w:lineRule="exact"/>
        <w:jc w:val="center"/>
        <w:rPr>
          <w:b w:val="0"/>
          <w:szCs w:val="44"/>
          <w:lang w:val="zh-CN"/>
        </w:rPr>
      </w:pPr>
      <w:bookmarkStart w:id="336" w:name="_Toc13835"/>
      <w:bookmarkStart w:id="337" w:name="_Toc30302"/>
      <w:r>
        <w:rPr>
          <w:rFonts w:hint="eastAsia"/>
          <w:b w:val="0"/>
          <w:szCs w:val="44"/>
          <w:lang w:val="zh-CN"/>
        </w:rPr>
        <w:t xml:space="preserve">第二章 </w:t>
      </w:r>
      <w:bookmarkEnd w:id="328"/>
      <w:bookmarkEnd w:id="329"/>
      <w:bookmarkEnd w:id="330"/>
      <w:bookmarkEnd w:id="331"/>
      <w:bookmarkEnd w:id="332"/>
      <w:bookmarkEnd w:id="333"/>
      <w:bookmarkEnd w:id="334"/>
      <w:r>
        <w:rPr>
          <w:rFonts w:hint="eastAsia"/>
          <w:b w:val="0"/>
          <w:szCs w:val="44"/>
          <w:lang w:val="zh-CN"/>
        </w:rPr>
        <w:t>合同通用条款</w:t>
      </w:r>
      <w:bookmarkEnd w:id="335"/>
      <w:bookmarkEnd w:id="336"/>
      <w:bookmarkEnd w:id="337"/>
    </w:p>
    <w:p>
      <w:pPr>
        <w:pStyle w:val="5"/>
        <w:spacing w:before="0" w:after="0" w:line="560" w:lineRule="exact"/>
        <w:ind w:firstLine="560" w:firstLineChars="200"/>
        <w:rPr>
          <w:rFonts w:ascii="黑体" w:hAnsi="黑体" w:cs="黑体"/>
          <w:b w:val="0"/>
          <w:sz w:val="28"/>
          <w:szCs w:val="28"/>
        </w:rPr>
      </w:pPr>
      <w:bookmarkStart w:id="338" w:name="_Toc27742"/>
      <w:bookmarkStart w:id="339" w:name="_Toc31294"/>
      <w:bookmarkStart w:id="340" w:name="_Toc20822"/>
      <w:bookmarkStart w:id="341" w:name="_Toc112768439"/>
      <w:bookmarkStart w:id="342" w:name="_Toc17048"/>
      <w:bookmarkStart w:id="343" w:name="_Toc132191235"/>
      <w:bookmarkStart w:id="344" w:name="_Toc1271"/>
      <w:bookmarkStart w:id="345" w:name="_Toc19098"/>
      <w:r>
        <w:rPr>
          <w:rFonts w:hint="eastAsia" w:ascii="黑体" w:hAnsi="黑体" w:cs="黑体"/>
          <w:b w:val="0"/>
          <w:sz w:val="28"/>
          <w:szCs w:val="28"/>
        </w:rPr>
        <w:t>一、定义</w:t>
      </w:r>
      <w:bookmarkEnd w:id="338"/>
      <w:bookmarkEnd w:id="339"/>
      <w:bookmarkEnd w:id="340"/>
      <w:bookmarkEnd w:id="341"/>
      <w:bookmarkEnd w:id="342"/>
      <w:bookmarkEnd w:id="343"/>
      <w:bookmarkEnd w:id="344"/>
      <w:bookmarkEnd w:id="345"/>
    </w:p>
    <w:p>
      <w:pPr>
        <w:spacing w:line="560" w:lineRule="exact"/>
        <w:ind w:firstLine="560" w:firstLineChars="200"/>
        <w:rPr>
          <w:rFonts w:asciiTheme="minorEastAsia" w:hAnsiTheme="minorEastAsia" w:eastAsiaTheme="minorEastAsia"/>
          <w:bCs/>
          <w:sz w:val="28"/>
          <w:szCs w:val="28"/>
        </w:rPr>
      </w:pPr>
      <w:r>
        <w:rPr>
          <w:rFonts w:hint="eastAsia"/>
          <w:bCs/>
          <w:sz w:val="28"/>
          <w:szCs w:val="28"/>
        </w:rPr>
        <w:t>（一）</w:t>
      </w:r>
      <w:r>
        <w:rPr>
          <w:rFonts w:hint="eastAsia" w:asciiTheme="minorEastAsia" w:hAnsiTheme="minorEastAsia" w:eastAsiaTheme="minorEastAsia"/>
          <w:bCs/>
          <w:sz w:val="28"/>
          <w:szCs w:val="28"/>
        </w:rPr>
        <w:t>“合同”是指甲方和乙方（以下简称双方）已达成的协议，即由双方签订的合同格式中的文件，包括所有的附件、附录和组成合同部分的所有其他文件。</w:t>
      </w:r>
    </w:p>
    <w:p>
      <w:pPr>
        <w:spacing w:line="560" w:lineRule="exact"/>
        <w:ind w:firstLine="560" w:firstLineChars="200"/>
        <w:rPr>
          <w:rFonts w:asciiTheme="minorEastAsia" w:hAnsiTheme="minorEastAsia" w:eastAsiaTheme="minorEastAsia"/>
          <w:bCs/>
          <w:sz w:val="28"/>
          <w:szCs w:val="28"/>
        </w:rPr>
      </w:pPr>
      <w:r>
        <w:rPr>
          <w:rFonts w:hint="eastAsia"/>
          <w:bCs/>
          <w:sz w:val="28"/>
          <w:szCs w:val="28"/>
        </w:rPr>
        <w:t>（二）</w:t>
      </w:r>
      <w:r>
        <w:rPr>
          <w:rFonts w:hint="eastAsia" w:asciiTheme="minorEastAsia" w:hAnsiTheme="minorEastAsia" w:eastAsiaTheme="minorEastAsia"/>
          <w:bCs/>
          <w:sz w:val="28"/>
          <w:szCs w:val="28"/>
        </w:rPr>
        <w:t>“合同价格”是指根据合同规定，在乙方全面正确地履行合同义务时支付给乙方的款项。</w:t>
      </w:r>
    </w:p>
    <w:p>
      <w:pPr>
        <w:spacing w:line="560" w:lineRule="exact"/>
        <w:ind w:firstLine="560" w:firstLineChars="200"/>
        <w:rPr>
          <w:rFonts w:asciiTheme="minorEastAsia" w:hAnsiTheme="minorEastAsia" w:eastAsiaTheme="minorEastAsia"/>
          <w:bCs/>
          <w:sz w:val="28"/>
          <w:szCs w:val="28"/>
        </w:rPr>
      </w:pPr>
      <w:r>
        <w:rPr>
          <w:rFonts w:hint="eastAsia"/>
          <w:bCs/>
          <w:sz w:val="28"/>
          <w:szCs w:val="28"/>
        </w:rPr>
        <w:t>（三）</w:t>
      </w:r>
      <w:r>
        <w:rPr>
          <w:rFonts w:hint="eastAsia" w:asciiTheme="minorEastAsia" w:hAnsiTheme="minorEastAsia" w:eastAsiaTheme="minorEastAsia"/>
          <w:bCs/>
          <w:sz w:val="28"/>
          <w:szCs w:val="28"/>
        </w:rPr>
        <w:t>“甲方”是指采购物资和相关服务的采购单位。</w:t>
      </w:r>
    </w:p>
    <w:p>
      <w:pPr>
        <w:spacing w:line="560" w:lineRule="exact"/>
        <w:ind w:firstLine="560" w:firstLineChars="200"/>
        <w:rPr>
          <w:bCs/>
          <w:sz w:val="28"/>
          <w:szCs w:val="28"/>
        </w:rPr>
      </w:pPr>
      <w:r>
        <w:rPr>
          <w:rFonts w:hint="eastAsia"/>
          <w:bCs/>
          <w:sz w:val="28"/>
          <w:szCs w:val="28"/>
        </w:rPr>
        <w:t>（四）</w:t>
      </w:r>
      <w:r>
        <w:rPr>
          <w:rFonts w:hint="eastAsia" w:asciiTheme="minorEastAsia" w:hAnsiTheme="minorEastAsia" w:eastAsiaTheme="minorEastAsia"/>
          <w:bCs/>
          <w:sz w:val="28"/>
          <w:szCs w:val="28"/>
        </w:rPr>
        <w:t>“乙方”是指成交后提供物资和相关服务的供应商。</w:t>
      </w:r>
    </w:p>
    <w:p>
      <w:pPr>
        <w:pStyle w:val="5"/>
        <w:spacing w:before="0" w:after="0" w:line="560" w:lineRule="exact"/>
        <w:ind w:firstLine="560" w:firstLineChars="200"/>
        <w:rPr>
          <w:rFonts w:ascii="黑体" w:hAnsi="黑体" w:cs="黑体"/>
          <w:b w:val="0"/>
          <w:sz w:val="28"/>
          <w:szCs w:val="28"/>
        </w:rPr>
      </w:pPr>
      <w:bookmarkStart w:id="346" w:name="_Toc132191236"/>
      <w:bookmarkStart w:id="347" w:name="_Toc10451"/>
      <w:r>
        <w:rPr>
          <w:rFonts w:hint="eastAsia" w:ascii="黑体" w:hAnsi="黑体" w:cs="黑体"/>
          <w:b w:val="0"/>
          <w:sz w:val="28"/>
          <w:szCs w:val="28"/>
        </w:rPr>
        <w:t>二、物资编目编码、打码贴签要求</w:t>
      </w:r>
      <w:bookmarkEnd w:id="346"/>
      <w:bookmarkEnd w:id="347"/>
    </w:p>
    <w:p>
      <w:pPr>
        <w:spacing w:line="560" w:lineRule="exact"/>
        <w:ind w:firstLine="560" w:firstLineChars="200"/>
        <w:rPr>
          <w:bCs/>
          <w:sz w:val="28"/>
          <w:szCs w:val="28"/>
        </w:rPr>
      </w:pPr>
      <w:r>
        <w:rPr>
          <w:rFonts w:hint="eastAsia"/>
          <w:bCs/>
          <w:sz w:val="28"/>
          <w:szCs w:val="28"/>
        </w:rPr>
        <w:t>（一）乙方应当配合甲方完成合同内采购物资的编目编码工作，按照统一要求，提供物资相关数据信息，配合甲方做好编目数据采集工作。涉密信息应当按照国家、军队安全保密有关规定进行处理，确保不发生失泄密问题。</w:t>
      </w:r>
    </w:p>
    <w:p>
      <w:pPr>
        <w:spacing w:line="560" w:lineRule="exact"/>
        <w:ind w:firstLine="560" w:firstLineChars="200"/>
        <w:rPr>
          <w:bCs/>
          <w:sz w:val="28"/>
          <w:szCs w:val="28"/>
        </w:rPr>
      </w:pPr>
      <w:r>
        <w:rPr>
          <w:rFonts w:ascii="宋体" w:hAnsi="宋体" w:cs="宋体"/>
          <w:bCs/>
          <w:sz w:val="28"/>
          <w:szCs w:val="28"/>
        </w:rPr>
        <w:t>1.</w:t>
      </w:r>
      <w:r>
        <w:rPr>
          <w:rFonts w:hint="eastAsia"/>
          <w:bCs/>
          <w:sz w:val="28"/>
          <w:szCs w:val="28"/>
        </w:rPr>
        <w:t>乙方可通过军队采购网互联网网站</w:t>
      </w: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www.plap.mil.cn）</w:t>
      </w:r>
      <w:r>
        <w:rPr>
          <w:rFonts w:hint="eastAsia" w:asciiTheme="minorEastAsia" w:hAnsiTheme="minorEastAsia" w:eastAsiaTheme="minorEastAsia"/>
          <w:bCs/>
          <w:sz w:val="28"/>
          <w:szCs w:val="28"/>
        </w:rPr>
        <w:t>或“通用物资编目数据平台”（www.ngcode.cn/catalog），下</w:t>
      </w:r>
      <w:r>
        <w:rPr>
          <w:rFonts w:hint="eastAsia"/>
          <w:bCs/>
          <w:sz w:val="28"/>
          <w:szCs w:val="28"/>
        </w:rPr>
        <w:t>载安装编目用户终端软件。按要求录入采购物资数据，导入技术规范、产品说明书、图片等便于</w:t>
      </w:r>
      <w:r>
        <w:rPr>
          <w:bCs/>
          <w:sz w:val="28"/>
          <w:szCs w:val="28"/>
        </w:rPr>
        <w:t>物资识别的</w:t>
      </w:r>
      <w:r>
        <w:rPr>
          <w:rFonts w:hint="eastAsia"/>
          <w:bCs/>
          <w:sz w:val="28"/>
          <w:szCs w:val="28"/>
        </w:rPr>
        <w:t>电子文件资料，生成编目申请数据包，提交甲方或承担军队资产编目编码职能的单位。</w:t>
      </w:r>
    </w:p>
    <w:p>
      <w:pPr>
        <w:spacing w:line="560" w:lineRule="exact"/>
        <w:ind w:firstLine="560" w:firstLineChars="200"/>
        <w:rPr>
          <w:bCs/>
          <w:sz w:val="28"/>
          <w:szCs w:val="28"/>
        </w:rPr>
      </w:pPr>
      <w:r>
        <w:rPr>
          <w:rFonts w:ascii="宋体" w:hAnsi="宋体" w:cs="宋体"/>
          <w:bCs/>
          <w:sz w:val="28"/>
          <w:szCs w:val="28"/>
        </w:rPr>
        <w:t>2.</w:t>
      </w:r>
      <w:r>
        <w:rPr>
          <w:rFonts w:hint="eastAsia"/>
          <w:bCs/>
          <w:sz w:val="28"/>
          <w:szCs w:val="28"/>
        </w:rPr>
        <w:t>乙方应当配合甲方或承担军队资产编目编码职能的单位，补充完善编目数据。</w:t>
      </w:r>
    </w:p>
    <w:p>
      <w:pPr>
        <w:spacing w:line="560" w:lineRule="exact"/>
        <w:ind w:firstLine="560" w:firstLineChars="200"/>
        <w:rPr>
          <w:bCs/>
          <w:sz w:val="28"/>
          <w:szCs w:val="28"/>
        </w:rPr>
      </w:pPr>
      <w:r>
        <w:rPr>
          <w:rFonts w:ascii="宋体" w:hAnsi="宋体" w:cs="宋体"/>
          <w:bCs/>
          <w:sz w:val="28"/>
          <w:szCs w:val="28"/>
        </w:rPr>
        <w:t>3.</w:t>
      </w:r>
      <w:r>
        <w:rPr>
          <w:rFonts w:hint="eastAsia"/>
          <w:bCs/>
          <w:sz w:val="28"/>
          <w:szCs w:val="28"/>
        </w:rPr>
        <w:t>乙方通过甲方接收赋码后的编目数据包，导入编目用户终端软件，获取品种码，正确</w:t>
      </w:r>
      <w:r>
        <w:rPr>
          <w:bCs/>
          <w:sz w:val="28"/>
          <w:szCs w:val="28"/>
        </w:rPr>
        <w:t>填入合同文本，</w:t>
      </w:r>
      <w:r>
        <w:rPr>
          <w:rFonts w:hint="eastAsia"/>
          <w:bCs/>
          <w:sz w:val="28"/>
          <w:szCs w:val="28"/>
        </w:rPr>
        <w:t>用于打码贴签、验收结算等。</w:t>
      </w:r>
    </w:p>
    <w:p>
      <w:pPr>
        <w:spacing w:line="560" w:lineRule="exact"/>
        <w:ind w:firstLine="560" w:firstLineChars="200"/>
        <w:rPr>
          <w:bCs/>
          <w:sz w:val="28"/>
          <w:szCs w:val="28"/>
        </w:rPr>
      </w:pPr>
      <w:r>
        <w:rPr>
          <w:rFonts w:asciiTheme="minorEastAsia" w:hAnsiTheme="minorEastAsia" w:eastAsiaTheme="minorEastAsia"/>
          <w:bCs/>
          <w:sz w:val="28"/>
          <w:szCs w:val="28"/>
        </w:rPr>
        <w:t>4</w:t>
      </w:r>
      <w:r>
        <w:rPr>
          <w:rFonts w:hint="eastAsia" w:asciiTheme="minorEastAsia" w:hAnsiTheme="minorEastAsia" w:eastAsiaTheme="minorEastAsia"/>
          <w:bCs/>
          <w:sz w:val="28"/>
          <w:szCs w:val="28"/>
        </w:rPr>
        <w:t>.</w:t>
      </w:r>
      <w:r>
        <w:rPr>
          <w:rFonts w:hint="eastAsia" w:asciiTheme="minorEastAsia" w:hAnsiTheme="minorEastAsia" w:eastAsiaTheme="minorEastAsia"/>
          <w:sz w:val="28"/>
          <w:szCs w:val="28"/>
        </w:rPr>
        <w:t>甲方</w:t>
      </w:r>
      <w:r>
        <w:rPr>
          <w:rFonts w:hint="eastAsia"/>
          <w:sz w:val="28"/>
          <w:szCs w:val="28"/>
        </w:rPr>
        <w:t>有单件管理需要的，乙方应当依据规则或示例程序自行生成单件码。</w:t>
      </w:r>
    </w:p>
    <w:p>
      <w:pPr>
        <w:spacing w:line="560" w:lineRule="exact"/>
        <w:ind w:firstLine="560" w:firstLineChars="200"/>
        <w:rPr>
          <w:bCs/>
          <w:sz w:val="28"/>
          <w:szCs w:val="28"/>
        </w:rPr>
      </w:pPr>
      <w:r>
        <w:rPr>
          <w:rFonts w:hint="eastAsia"/>
          <w:bCs/>
          <w:sz w:val="28"/>
          <w:szCs w:val="28"/>
        </w:rPr>
        <w:t>（二）乙方应当按照统一要求在物资交付前完成打码贴签工作。</w:t>
      </w:r>
    </w:p>
    <w:p>
      <w:pPr>
        <w:spacing w:line="560" w:lineRule="exact"/>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1.</w:t>
      </w:r>
      <w:r>
        <w:rPr>
          <w:rFonts w:hint="eastAsia" w:asciiTheme="minorEastAsia" w:hAnsiTheme="minorEastAsia" w:eastAsiaTheme="minorEastAsia"/>
          <w:bCs/>
          <w:sz w:val="28"/>
          <w:szCs w:val="28"/>
        </w:rPr>
        <w:t>物资标识标签格式、张挂位置、材质、码制等内容，应当符合军队有关要求。</w:t>
      </w:r>
    </w:p>
    <w:p>
      <w:pPr>
        <w:spacing w:line="560" w:lineRule="exact"/>
        <w:ind w:firstLine="560" w:firstLineChars="200"/>
        <w:rPr>
          <w:bCs/>
          <w:sz w:val="28"/>
          <w:szCs w:val="28"/>
        </w:rPr>
      </w:pPr>
      <w:r>
        <w:rPr>
          <w:rFonts w:asciiTheme="minorEastAsia" w:hAnsiTheme="minorEastAsia" w:eastAsiaTheme="minorEastAsia"/>
          <w:bCs/>
          <w:sz w:val="28"/>
          <w:szCs w:val="28"/>
        </w:rPr>
        <w:t>2.</w:t>
      </w:r>
      <w:r>
        <w:rPr>
          <w:rFonts w:hint="eastAsia" w:asciiTheme="minorEastAsia" w:hAnsiTheme="minorEastAsia" w:eastAsiaTheme="minorEastAsia"/>
          <w:bCs/>
          <w:sz w:val="28"/>
          <w:szCs w:val="28"/>
        </w:rPr>
        <w:t>物资</w:t>
      </w:r>
      <w:r>
        <w:rPr>
          <w:rFonts w:hint="eastAsia"/>
          <w:bCs/>
          <w:sz w:val="28"/>
          <w:szCs w:val="28"/>
        </w:rPr>
        <w:t>标识标签上的品种码应当与合同物资明细表中的品种码完全一致。</w:t>
      </w:r>
    </w:p>
    <w:p>
      <w:pPr>
        <w:spacing w:line="560" w:lineRule="exact"/>
        <w:ind w:firstLine="560" w:firstLineChars="200"/>
        <w:rPr>
          <w:bCs/>
          <w:sz w:val="28"/>
          <w:szCs w:val="28"/>
        </w:rPr>
      </w:pPr>
      <w:r>
        <w:rPr>
          <w:rFonts w:hint="eastAsia"/>
          <w:bCs/>
          <w:sz w:val="28"/>
          <w:szCs w:val="28"/>
        </w:rPr>
        <w:t>（三）物资编目数据填报和打码贴签情况，列入出厂验收、接收验收项目；编目数据、标识标签不符合规范要求的，验收不予通过，不得进入物资储存单位。乙方应当在7日内完成整改，重新协调甲方组织验收。</w:t>
      </w:r>
    </w:p>
    <w:p>
      <w:pPr>
        <w:pStyle w:val="5"/>
        <w:spacing w:before="0" w:after="0" w:line="560" w:lineRule="exact"/>
        <w:ind w:firstLine="560" w:firstLineChars="200"/>
        <w:rPr>
          <w:rFonts w:ascii="黑体" w:hAnsi="黑体" w:cs="黑体"/>
          <w:b w:val="0"/>
          <w:sz w:val="28"/>
          <w:szCs w:val="28"/>
        </w:rPr>
      </w:pPr>
      <w:bookmarkStart w:id="348" w:name="_Toc29039"/>
      <w:bookmarkStart w:id="349" w:name="_Toc132191237"/>
      <w:bookmarkStart w:id="350" w:name="_Toc1552"/>
      <w:bookmarkStart w:id="351" w:name="_Toc23535"/>
      <w:bookmarkStart w:id="352" w:name="_Toc26337"/>
      <w:bookmarkStart w:id="353" w:name="_Toc112768442"/>
      <w:bookmarkStart w:id="354" w:name="_Toc22002"/>
      <w:bookmarkStart w:id="355" w:name="_Toc31806"/>
      <w:r>
        <w:rPr>
          <w:rFonts w:hint="eastAsia" w:ascii="黑体" w:hAnsi="黑体" w:cs="黑体"/>
          <w:b w:val="0"/>
          <w:sz w:val="28"/>
          <w:szCs w:val="28"/>
        </w:rPr>
        <w:t>三、履约验收</w:t>
      </w:r>
      <w:bookmarkEnd w:id="348"/>
      <w:bookmarkEnd w:id="349"/>
      <w:bookmarkEnd w:id="350"/>
      <w:bookmarkEnd w:id="351"/>
      <w:bookmarkEnd w:id="352"/>
      <w:bookmarkEnd w:id="353"/>
      <w:bookmarkEnd w:id="354"/>
      <w:bookmarkEnd w:id="355"/>
    </w:p>
    <w:p>
      <w:pPr>
        <w:spacing w:line="560" w:lineRule="exact"/>
        <w:ind w:firstLine="560" w:firstLineChars="200"/>
        <w:rPr>
          <w:rFonts w:eastAsia="仿宋_GB2312"/>
          <w:bCs/>
          <w:sz w:val="28"/>
          <w:szCs w:val="28"/>
        </w:rPr>
      </w:pPr>
      <w:r>
        <w:rPr>
          <w:rFonts w:hint="eastAsia"/>
          <w:bCs/>
          <w:sz w:val="28"/>
          <w:szCs w:val="28"/>
        </w:rPr>
        <w:t>（一）物资交付前，乙方应当对物资进行全面自检，符合交付条件后，由甲方组织验收。</w:t>
      </w:r>
    </w:p>
    <w:p>
      <w:pPr>
        <w:spacing w:line="560" w:lineRule="exact"/>
        <w:ind w:firstLine="560" w:firstLineChars="200"/>
        <w:rPr>
          <w:bCs/>
          <w:sz w:val="28"/>
          <w:szCs w:val="28"/>
        </w:rPr>
      </w:pPr>
      <w:r>
        <w:rPr>
          <w:rFonts w:hint="eastAsia"/>
          <w:bCs/>
          <w:sz w:val="28"/>
          <w:szCs w:val="28"/>
        </w:rPr>
        <w:t>（二）在交货时乙方应当对所提供的产品出具国家标准规定的产品合格证或国家认可的行业标准规定的产品合格证。</w:t>
      </w:r>
    </w:p>
    <w:p>
      <w:pPr>
        <w:spacing w:line="560" w:lineRule="exact"/>
        <w:ind w:firstLine="560" w:firstLineChars="200"/>
        <w:rPr>
          <w:bCs/>
          <w:sz w:val="28"/>
          <w:szCs w:val="28"/>
        </w:rPr>
      </w:pPr>
      <w:r>
        <w:rPr>
          <w:rFonts w:hint="eastAsia"/>
          <w:bCs/>
          <w:sz w:val="28"/>
          <w:szCs w:val="28"/>
        </w:rPr>
        <w:t>（三）甲方在交货前有权对乙方提供的物资、技术、服务提出异议，并采取相关措施确保质量合格。</w:t>
      </w:r>
    </w:p>
    <w:p>
      <w:pPr>
        <w:spacing w:line="560" w:lineRule="exact"/>
        <w:ind w:firstLine="560" w:firstLineChars="200"/>
        <w:rPr>
          <w:bCs/>
          <w:sz w:val="28"/>
          <w:szCs w:val="28"/>
        </w:rPr>
      </w:pPr>
      <w:r>
        <w:rPr>
          <w:rFonts w:hint="eastAsia"/>
          <w:bCs/>
          <w:sz w:val="28"/>
          <w:szCs w:val="28"/>
        </w:rPr>
        <w:t>（四）具体组织程序、验收标准和方法，按甲方规定程序执行，乙方配合实施。</w:t>
      </w:r>
    </w:p>
    <w:p>
      <w:pPr>
        <w:spacing w:line="560" w:lineRule="exact"/>
        <w:ind w:firstLine="560" w:firstLineChars="200"/>
        <w:rPr>
          <w:bCs/>
          <w:sz w:val="28"/>
          <w:szCs w:val="28"/>
        </w:rPr>
      </w:pPr>
      <w:r>
        <w:rPr>
          <w:rFonts w:hint="eastAsia"/>
          <w:bCs/>
          <w:sz w:val="28"/>
          <w:szCs w:val="28"/>
        </w:rPr>
        <w:t>（五）产品出厂验收不合格，甲方有权拒收物资和解除采购合同，由此造成的损失，由乙方承担。出厂验收过程中，乙方可有</w:t>
      </w:r>
      <w:r>
        <w:rPr>
          <w:bCs/>
          <w:sz w:val="28"/>
          <w:szCs w:val="28"/>
        </w:rPr>
        <w:t>1</w:t>
      </w:r>
      <w:r>
        <w:rPr>
          <w:rFonts w:hint="eastAsia"/>
          <w:bCs/>
          <w:sz w:val="28"/>
          <w:szCs w:val="28"/>
        </w:rPr>
        <w:t>次整改机会，若第一次检验未通过，甲方将书面通知乙方限期整改，整改后进行第二次检验，检验合格后方可出厂。若第二次检验仍未通过的，甲方有权取消或解除采购合同，由此造成的损失，由乙方承担。</w:t>
      </w:r>
    </w:p>
    <w:p>
      <w:pPr>
        <w:spacing w:line="560" w:lineRule="exact"/>
        <w:ind w:firstLine="560" w:firstLineChars="200"/>
        <w:rPr>
          <w:bCs/>
          <w:sz w:val="28"/>
          <w:szCs w:val="28"/>
        </w:rPr>
      </w:pPr>
      <w:r>
        <w:rPr>
          <w:rFonts w:hint="eastAsia"/>
          <w:bCs/>
          <w:sz w:val="28"/>
          <w:szCs w:val="28"/>
        </w:rPr>
        <w:t>（六）甲方在产品使用过程中，发现产品性能指标未达到要求的，乙方按照甲方明确的整改期限（不超过</w:t>
      </w:r>
      <w:r>
        <w:rPr>
          <w:bCs/>
          <w:sz w:val="28"/>
          <w:szCs w:val="28"/>
        </w:rPr>
        <w:t>1</w:t>
      </w:r>
      <w:r>
        <w:rPr>
          <w:rFonts w:hint="eastAsia"/>
          <w:bCs/>
          <w:sz w:val="28"/>
          <w:szCs w:val="28"/>
        </w:rPr>
        <w:t>个月），可有</w:t>
      </w:r>
      <w:r>
        <w:rPr>
          <w:bCs/>
          <w:sz w:val="28"/>
          <w:szCs w:val="28"/>
        </w:rPr>
        <w:t>1</w:t>
      </w:r>
      <w:r>
        <w:rPr>
          <w:rFonts w:hint="eastAsia"/>
          <w:bCs/>
          <w:sz w:val="28"/>
          <w:szCs w:val="28"/>
        </w:rPr>
        <w:t>次整改机会，在规定期限内未整改完毕的，由此造成的损失，由乙方承担。</w:t>
      </w:r>
    </w:p>
    <w:p>
      <w:pPr>
        <w:pStyle w:val="5"/>
        <w:spacing w:before="0" w:after="0" w:line="560" w:lineRule="exact"/>
        <w:ind w:firstLine="560" w:firstLineChars="200"/>
        <w:rPr>
          <w:rFonts w:ascii="黑体" w:hAnsi="黑体" w:cs="黑体"/>
          <w:b w:val="0"/>
          <w:sz w:val="28"/>
          <w:szCs w:val="28"/>
        </w:rPr>
      </w:pPr>
      <w:bookmarkStart w:id="356" w:name="_Toc121216143"/>
      <w:bookmarkStart w:id="357" w:name="_Toc9752"/>
      <w:bookmarkStart w:id="358" w:name="_Toc132191238"/>
      <w:bookmarkStart w:id="359" w:name="_Toc17317"/>
      <w:bookmarkStart w:id="360" w:name="_Toc12330"/>
      <w:bookmarkStart w:id="361" w:name="_Toc14450"/>
      <w:bookmarkStart w:id="362" w:name="_Toc112768443"/>
      <w:bookmarkStart w:id="363" w:name="_Toc9926"/>
      <w:bookmarkStart w:id="364" w:name="_Toc18714"/>
      <w:r>
        <w:rPr>
          <w:rFonts w:hint="eastAsia" w:ascii="黑体" w:hAnsi="黑体" w:cs="黑体"/>
          <w:b w:val="0"/>
          <w:sz w:val="28"/>
          <w:szCs w:val="28"/>
        </w:rPr>
        <w:t>四、保密条款</w:t>
      </w:r>
      <w:bookmarkEnd w:id="356"/>
      <w:bookmarkEnd w:id="357"/>
      <w:bookmarkEnd w:id="358"/>
    </w:p>
    <w:p>
      <w:pPr>
        <w:spacing w:line="560" w:lineRule="exact"/>
        <w:ind w:firstLine="560" w:firstLineChars="200"/>
        <w:rPr>
          <w:rFonts w:ascii="仿宋_GB2312"/>
          <w:bCs/>
          <w:sz w:val="28"/>
          <w:szCs w:val="28"/>
        </w:rPr>
      </w:pPr>
      <w:bookmarkStart w:id="365" w:name="_Toc121216144"/>
      <w:r>
        <w:rPr>
          <w:rFonts w:hint="eastAsia" w:ascii="仿宋_GB2312"/>
          <w:bCs/>
          <w:sz w:val="28"/>
          <w:szCs w:val="28"/>
        </w:rPr>
        <w:t>乙方知悉应当承担的保密义务，如违反以下条款，乙方承担一切法律责任，赔偿因违反承诺造成的损失，接受甲方按照国家和军队有关规定作出的处罚。参与本项目及其合同订立履行的乙方所属员工发生失密泄密的，由乙方承担连带责任：</w:t>
      </w:r>
    </w:p>
    <w:p>
      <w:pPr>
        <w:spacing w:line="560" w:lineRule="exact"/>
        <w:ind w:firstLine="560" w:firstLineChars="200"/>
        <w:rPr>
          <w:rFonts w:ascii="仿宋_GB2312"/>
          <w:bCs/>
          <w:sz w:val="28"/>
          <w:szCs w:val="28"/>
        </w:rPr>
      </w:pPr>
      <w:r>
        <w:rPr>
          <w:rFonts w:hint="eastAsia" w:ascii="仿宋_GB2312"/>
          <w:bCs/>
          <w:sz w:val="28"/>
          <w:szCs w:val="28"/>
        </w:rPr>
        <w:t>（一）严格遵守国家和军队保密法规制度要求，制定并严格落实保密管理制度，设置保密部门，配备保密人员，开展保密培训，严格约束所属员工行为，接受和配合甲方或军方采购管理部门、采购机构组织开展的保密指导和监督检查。</w:t>
      </w:r>
    </w:p>
    <w:p>
      <w:pPr>
        <w:spacing w:line="560" w:lineRule="exact"/>
        <w:ind w:firstLine="560" w:firstLineChars="200"/>
        <w:rPr>
          <w:rFonts w:ascii="仿宋_GB2312"/>
          <w:bCs/>
          <w:sz w:val="28"/>
          <w:szCs w:val="28"/>
        </w:rPr>
      </w:pPr>
      <w:r>
        <w:rPr>
          <w:rFonts w:hint="eastAsia" w:ascii="仿宋_GB2312"/>
          <w:bCs/>
          <w:sz w:val="28"/>
          <w:szCs w:val="28"/>
        </w:rPr>
        <w:t>（二）未经甲方或军方有权单位许可，不以摘抄、复制、告知、公布、出版、传递、转让或以其他任何方式使任何第三方组织和人员知悉本采购项目及其合同订立履行保密信息。甲方提供的或参与本项目及其合同订立履行获悉的所有信息均视为保密信息，甲方或军方有权单位明确表示无需保密的信息除外。</w:t>
      </w:r>
    </w:p>
    <w:p>
      <w:pPr>
        <w:spacing w:line="560" w:lineRule="exact"/>
        <w:ind w:firstLine="560" w:firstLineChars="200"/>
        <w:rPr>
          <w:rFonts w:ascii="仿宋_GB2312"/>
          <w:bCs/>
          <w:sz w:val="28"/>
          <w:szCs w:val="28"/>
        </w:rPr>
      </w:pPr>
      <w:r>
        <w:rPr>
          <w:rFonts w:hint="eastAsia" w:ascii="仿宋_GB2312"/>
          <w:bCs/>
          <w:sz w:val="28"/>
          <w:szCs w:val="28"/>
        </w:rPr>
        <w:t>（三）本采购项目及其合同订立履行保密信息，包括以手写、打印、软件、磁盘、光盘、胶片、图片、音视频或其他可读取方式记载的数据信息和文档资料，实行专人管理、专室专柜存放、定期审核销毁，不擅自复制留存。</w:t>
      </w:r>
    </w:p>
    <w:p>
      <w:pPr>
        <w:spacing w:line="560" w:lineRule="exact"/>
        <w:ind w:firstLine="560" w:firstLineChars="200"/>
        <w:rPr>
          <w:rFonts w:ascii="仿宋_GB2312"/>
          <w:bCs/>
          <w:sz w:val="28"/>
          <w:szCs w:val="28"/>
        </w:rPr>
      </w:pPr>
      <w:r>
        <w:rPr>
          <w:rFonts w:hint="eastAsia" w:ascii="仿宋_GB2312"/>
          <w:bCs/>
          <w:sz w:val="28"/>
          <w:szCs w:val="28"/>
        </w:rPr>
        <w:t>（四）不在联接互联网计算机中存储、处理、传递，不通过普通电话、传真、快递等非保密渠道传递本采购项目及其合同订立履行保密信息。</w:t>
      </w:r>
    </w:p>
    <w:p>
      <w:pPr>
        <w:spacing w:line="560" w:lineRule="exact"/>
        <w:ind w:firstLine="560" w:firstLineChars="200"/>
        <w:rPr>
          <w:rFonts w:ascii="仿宋_GB2312"/>
          <w:bCs/>
          <w:sz w:val="28"/>
          <w:szCs w:val="28"/>
        </w:rPr>
      </w:pPr>
      <w:r>
        <w:rPr>
          <w:rFonts w:hint="eastAsia" w:ascii="仿宋_GB2312"/>
          <w:bCs/>
          <w:sz w:val="28"/>
          <w:szCs w:val="28"/>
        </w:rPr>
        <w:t>（五）不将本采购项目合同订立履行保密信息作为企业业绩进行公开宣传。本合同履行完毕后，仍继续承担与合同履行期间相同的保密义务。在签订本合同前，乙方已知悉合同履行过程以及合同履行完毕后需要承担的保密义务及其成本，无须甲方另外支付保密相关费用。</w:t>
      </w:r>
    </w:p>
    <w:p>
      <w:pPr>
        <w:pStyle w:val="5"/>
        <w:spacing w:before="0" w:after="0" w:line="560" w:lineRule="exact"/>
        <w:ind w:firstLine="560" w:firstLineChars="200"/>
        <w:rPr>
          <w:rFonts w:ascii="黑体" w:hAnsi="黑体" w:cs="黑体"/>
          <w:b w:val="0"/>
          <w:sz w:val="28"/>
          <w:szCs w:val="28"/>
        </w:rPr>
      </w:pPr>
      <w:bookmarkStart w:id="366" w:name="_Toc26495"/>
      <w:bookmarkStart w:id="367" w:name="_Toc132191239"/>
      <w:r>
        <w:rPr>
          <w:rFonts w:hint="eastAsia" w:ascii="黑体" w:hAnsi="黑体" w:cs="黑体"/>
          <w:b w:val="0"/>
          <w:sz w:val="28"/>
          <w:szCs w:val="28"/>
        </w:rPr>
        <w:t>五、知识产权</w:t>
      </w:r>
      <w:bookmarkEnd w:id="365"/>
      <w:bookmarkEnd w:id="366"/>
      <w:bookmarkEnd w:id="367"/>
    </w:p>
    <w:p>
      <w:pPr>
        <w:spacing w:line="560" w:lineRule="exact"/>
        <w:ind w:firstLine="560" w:firstLineChars="200"/>
        <w:rPr>
          <w:rFonts w:ascii="宋体" w:hAnsi="宋体"/>
          <w:bCs/>
          <w:sz w:val="28"/>
          <w:szCs w:val="28"/>
        </w:rPr>
      </w:pPr>
      <w:r>
        <w:rPr>
          <w:rFonts w:hint="eastAsia" w:ascii="宋体" w:hAnsi="宋体"/>
          <w:bCs/>
          <w:sz w:val="28"/>
          <w:szCs w:val="28"/>
        </w:rPr>
        <w:t>（一）乙方应当保证甲方在使用物资和服务时不受第三方提出侵犯其知识产权的指控，对此甲方不承担任何连带责任或赔偿责任。</w:t>
      </w:r>
    </w:p>
    <w:p>
      <w:pPr>
        <w:spacing w:line="560" w:lineRule="exact"/>
        <w:ind w:firstLine="562" w:firstLineChars="200"/>
        <w:rPr>
          <w:rFonts w:ascii="黑体" w:hAnsi="黑体" w:eastAsia="黑体"/>
          <w:bCs/>
          <w:sz w:val="28"/>
          <w:szCs w:val="28"/>
        </w:rPr>
      </w:pPr>
      <w:r>
        <w:rPr>
          <w:rFonts w:hint="eastAsia" w:ascii="宋体" w:hAnsi="宋体"/>
          <w:b/>
          <w:sz w:val="28"/>
          <w:szCs w:val="28"/>
        </w:rPr>
        <w:t>（二）基于项目合同履行形成的知识产权和其他权益，其权属归甲方所有，法律另有规定的除外。</w:t>
      </w:r>
      <w:bookmarkEnd w:id="359"/>
      <w:bookmarkEnd w:id="360"/>
      <w:bookmarkEnd w:id="361"/>
      <w:bookmarkEnd w:id="362"/>
      <w:bookmarkEnd w:id="363"/>
      <w:bookmarkEnd w:id="364"/>
    </w:p>
    <w:p>
      <w:pPr>
        <w:pStyle w:val="5"/>
        <w:spacing w:before="0" w:after="0" w:line="560" w:lineRule="exact"/>
        <w:ind w:firstLine="560" w:firstLineChars="200"/>
        <w:rPr>
          <w:rFonts w:ascii="黑体" w:hAnsi="黑体" w:cs="黑体"/>
          <w:b w:val="0"/>
          <w:sz w:val="28"/>
          <w:szCs w:val="28"/>
        </w:rPr>
      </w:pPr>
      <w:bookmarkStart w:id="368" w:name="_Toc7599"/>
      <w:bookmarkStart w:id="369" w:name="_Toc5304"/>
      <w:bookmarkStart w:id="370" w:name="_Toc12218"/>
      <w:bookmarkStart w:id="371" w:name="_Toc27082"/>
      <w:bookmarkStart w:id="372" w:name="_Toc112768449"/>
      <w:bookmarkStart w:id="373" w:name="_Toc9363"/>
      <w:bookmarkStart w:id="374" w:name="_Toc29139"/>
      <w:bookmarkStart w:id="375" w:name="_Toc83738986"/>
      <w:bookmarkStart w:id="376" w:name="_Toc32212"/>
      <w:bookmarkStart w:id="377" w:name="_Toc11458"/>
      <w:bookmarkStart w:id="378" w:name="_Toc132191240"/>
      <w:r>
        <w:rPr>
          <w:rFonts w:hint="eastAsia" w:ascii="黑体" w:hAnsi="黑体" w:cs="黑体"/>
          <w:b w:val="0"/>
          <w:sz w:val="28"/>
          <w:szCs w:val="28"/>
        </w:rPr>
        <w:t>六、合同的变更和解除</w:t>
      </w:r>
      <w:bookmarkEnd w:id="368"/>
      <w:bookmarkEnd w:id="369"/>
      <w:bookmarkEnd w:id="370"/>
      <w:bookmarkEnd w:id="371"/>
      <w:bookmarkEnd w:id="372"/>
      <w:bookmarkEnd w:id="373"/>
      <w:bookmarkEnd w:id="374"/>
      <w:bookmarkEnd w:id="375"/>
      <w:bookmarkEnd w:id="376"/>
      <w:bookmarkEnd w:id="377"/>
      <w:bookmarkEnd w:id="378"/>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（一）因合同变更、解除造成损失的，过错方应当承担赔偿责任，双方都有过错的，甲乙双方应当各自承担相应的责任。</w:t>
      </w:r>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（二）合同履行中，经甲乙双方协商一致，并由甲方按照军队有关规定办理审批后，可以变更合同。</w:t>
      </w:r>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三）合同履行中，存在以下情形之一的，甲方有权解除合同：①因不可抗力无法履行合同，不能实现合同目的；②继续履行合同将损害国家或军队利益，且无法通过合同变更或中止方式解决；③采购任务调整或取消，不能通过合同变更方式达成新协议；④乙方明确表示或以自己的行为表明不履行合同主要义务；⑤乙方迟延履行合同主要义务，经催告后在限定合理整改期限内仍不履行；⑥乙方存在违规违约行为致使不能实现合同目的；⑦乙方</w:t>
      </w:r>
      <w:r>
        <w:rPr>
          <w:rFonts w:hint="eastAsia" w:ascii="仿宋_GB2312" w:hAnsi="宋体"/>
          <w:bCs/>
          <w:sz w:val="28"/>
          <w:szCs w:val="28"/>
          <w:lang w:val="zh-CN"/>
        </w:rPr>
        <w:t>发生控股关系、经营范围等重大实质性变化，不符合合同约定的；⑧</w:t>
      </w:r>
      <w:r>
        <w:rPr>
          <w:rFonts w:hint="eastAsia" w:ascii="仿宋_GB2312" w:hAnsi="宋体"/>
          <w:bCs/>
          <w:sz w:val="28"/>
          <w:szCs w:val="28"/>
        </w:rPr>
        <w:t>国家法律法规规定或合同约定的其他情形。</w:t>
      </w:r>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四）解除合同时，合同尚未履行的部分终止履行；对于乙方已履行的部分，甲乙双方区分情形，按照以下约定办理：①合同已履行并验收合格的部分，乙方没有违规违约行为的，甲方应当按照合同办理支付结算；乙方存在违规违约行为的，甲方应当按照本合同约定扣除违规违约赔偿费用后，办理支付结算；②合同已履行部分存在质量瑕疵的，甲方有权要求乙方采取修理、重作、更换等补救措施，验收合格后，按照本项第①条办理支付结算；③合同已履行部分根据甲方要求经乙方补救后仍未达到合同约定要求的，甲方有权拒绝接收；④乙方对合同解除负有主要过错责任的，甲方有权拒绝接收合同已履行部分物资；⑤合同已履行部分，甲方按照本合同约定拒绝接收的，乙方应当按照法律要求恢复原状。</w:t>
      </w:r>
    </w:p>
    <w:p>
      <w:pPr>
        <w:pStyle w:val="5"/>
        <w:spacing w:before="0" w:after="0" w:line="560" w:lineRule="exact"/>
        <w:ind w:firstLine="560" w:firstLineChars="200"/>
        <w:rPr>
          <w:rFonts w:ascii="黑体" w:hAnsi="黑体" w:cs="黑体"/>
          <w:b w:val="0"/>
          <w:sz w:val="28"/>
          <w:szCs w:val="28"/>
        </w:rPr>
      </w:pPr>
      <w:bookmarkStart w:id="379" w:name="_Toc3727"/>
      <w:bookmarkStart w:id="380" w:name="_Toc8640"/>
      <w:bookmarkStart w:id="381" w:name="_Toc83738987"/>
      <w:bookmarkStart w:id="382" w:name="_Toc19429"/>
      <w:bookmarkStart w:id="383" w:name="_Toc16462"/>
      <w:bookmarkStart w:id="384" w:name="_Toc132191241"/>
      <w:bookmarkStart w:id="385" w:name="_Toc112768450"/>
      <w:bookmarkStart w:id="386" w:name="_Toc22397"/>
      <w:bookmarkStart w:id="387" w:name="_Toc11818"/>
      <w:bookmarkStart w:id="388" w:name="_Toc3074"/>
      <w:bookmarkStart w:id="389" w:name="_Toc14573"/>
      <w:r>
        <w:rPr>
          <w:rFonts w:hint="eastAsia" w:ascii="黑体" w:hAnsi="黑体" w:cs="黑体"/>
          <w:b w:val="0"/>
          <w:sz w:val="28"/>
          <w:szCs w:val="28"/>
        </w:rPr>
        <w:t>七、履约监督</w:t>
      </w:r>
      <w:bookmarkEnd w:id="379"/>
      <w:bookmarkEnd w:id="380"/>
      <w:bookmarkEnd w:id="381"/>
      <w:bookmarkEnd w:id="382"/>
      <w:bookmarkEnd w:id="383"/>
      <w:bookmarkEnd w:id="384"/>
      <w:bookmarkEnd w:id="385"/>
      <w:bookmarkEnd w:id="386"/>
      <w:bookmarkEnd w:id="387"/>
      <w:bookmarkEnd w:id="388"/>
      <w:bookmarkEnd w:id="389"/>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一）乙方承诺接受甲方对其资质和履约能力进行监管，并保证在其资质和履约能力发生变化时向甲方通报，乙方存在法律规定的丧失或可能丧失合同履行能力有关情形时，甲方有权中止合同：①经营状况严重恶化的；②转移财产、抽逃资金，以逃避债务的；③丧失商业信誉的；④有丧失或可能丧失履行合同能力的其他情形。</w:t>
      </w:r>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（二）在不妨碍乙方正常生产、作业的情况下，甲方有关不定期对物资生产进度和过程质量管控情况进行监督检查，乙方承诺予以配合，如实反映情况，提供相关</w:t>
      </w:r>
      <w:r>
        <w:rPr>
          <w:rFonts w:hint="eastAsia" w:ascii="宋体" w:hAnsi="宋体"/>
          <w:bCs/>
          <w:sz w:val="28"/>
          <w:szCs w:val="28"/>
        </w:rPr>
        <w:t>材料</w:t>
      </w:r>
      <w:r>
        <w:rPr>
          <w:rFonts w:hint="eastAsia" w:ascii="仿宋_GB2312" w:hAnsi="宋体"/>
          <w:bCs/>
          <w:sz w:val="28"/>
          <w:szCs w:val="28"/>
        </w:rPr>
        <w:t>。</w:t>
      </w:r>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（三）乙方对于军队采购管理部门、纪检监察部门、审计部门等职能部门开展的调查，承诺予以配合，如实反映情况，提供相关</w:t>
      </w:r>
      <w:r>
        <w:rPr>
          <w:rFonts w:hint="eastAsia" w:ascii="宋体" w:hAnsi="宋体"/>
          <w:bCs/>
          <w:sz w:val="28"/>
          <w:szCs w:val="28"/>
        </w:rPr>
        <w:t>材料</w:t>
      </w:r>
      <w:r>
        <w:rPr>
          <w:rFonts w:hint="eastAsia" w:ascii="仿宋_GB2312" w:hAnsi="宋体"/>
          <w:bCs/>
          <w:sz w:val="28"/>
          <w:szCs w:val="28"/>
        </w:rPr>
        <w:t>。</w:t>
      </w:r>
    </w:p>
    <w:p>
      <w:pPr>
        <w:spacing w:line="560" w:lineRule="exact"/>
        <w:ind w:firstLine="560" w:firstLineChars="200"/>
        <w:rPr>
          <w:rFonts w:ascii="仿宋_GB2312" w:hAnsi="宋体"/>
          <w:bCs/>
          <w:sz w:val="28"/>
          <w:szCs w:val="28"/>
        </w:rPr>
      </w:pPr>
      <w:r>
        <w:rPr>
          <w:rFonts w:hint="eastAsia" w:ascii="仿宋_GB2312" w:hAnsi="宋体"/>
          <w:bCs/>
          <w:sz w:val="28"/>
          <w:szCs w:val="28"/>
        </w:rPr>
        <w:t>（四）乙方在合同订立、履行过程中，存在违法、违规、违约行为经查实的，承诺愿意无条件接受军队采购管理部门根据军队采购有关规定给予的书面警告、限制参加军队采购活动等处罚。</w:t>
      </w:r>
    </w:p>
    <w:p>
      <w:pPr>
        <w:pStyle w:val="5"/>
        <w:spacing w:before="0" w:after="0" w:line="560" w:lineRule="exact"/>
        <w:ind w:firstLine="560" w:firstLineChars="200"/>
        <w:rPr>
          <w:rFonts w:ascii="黑体" w:hAnsi="黑体" w:cs="黑体"/>
          <w:b w:val="0"/>
          <w:sz w:val="28"/>
          <w:szCs w:val="28"/>
        </w:rPr>
      </w:pPr>
      <w:bookmarkStart w:id="390" w:name="_Toc132191242"/>
      <w:bookmarkStart w:id="391" w:name="_Toc16602"/>
      <w:r>
        <w:rPr>
          <w:rFonts w:hint="eastAsia" w:ascii="黑体" w:hAnsi="黑体" w:cs="黑体"/>
          <w:b w:val="0"/>
          <w:sz w:val="28"/>
          <w:szCs w:val="28"/>
        </w:rPr>
        <w:t>八、转包与分包</w:t>
      </w:r>
      <w:bookmarkEnd w:id="390"/>
      <w:bookmarkEnd w:id="391"/>
    </w:p>
    <w:p>
      <w:pPr>
        <w:spacing w:line="560" w:lineRule="exact"/>
        <w:ind w:firstLine="560" w:firstLineChars="200"/>
        <w:rPr>
          <w:rFonts w:ascii="宋体" w:hAnsi="宋体"/>
          <w:bCs/>
          <w:sz w:val="28"/>
          <w:szCs w:val="28"/>
        </w:rPr>
      </w:pPr>
      <w:r>
        <w:rPr>
          <w:rFonts w:hint="eastAsia" w:ascii="宋体" w:hAnsi="宋体"/>
          <w:bCs/>
          <w:sz w:val="28"/>
          <w:szCs w:val="28"/>
        </w:rPr>
        <w:t>（一）乙方不得以任何形式将合同转包。</w:t>
      </w:r>
    </w:p>
    <w:p>
      <w:pPr>
        <w:spacing w:line="560" w:lineRule="exact"/>
        <w:ind w:firstLine="560" w:firstLineChars="200"/>
        <w:rPr>
          <w:rFonts w:ascii="宋体" w:hAnsi="宋体"/>
          <w:bCs/>
          <w:sz w:val="28"/>
          <w:szCs w:val="28"/>
        </w:rPr>
      </w:pPr>
      <w:r>
        <w:rPr>
          <w:rFonts w:hint="eastAsia" w:ascii="宋体" w:hAnsi="宋体"/>
          <w:bCs/>
          <w:sz w:val="28"/>
          <w:szCs w:val="28"/>
        </w:rPr>
        <w:t>（二）乙方未在报价文件中说明，不得将合同的非主体、非关键性部分或工作分包给他人。</w:t>
      </w:r>
    </w:p>
    <w:p>
      <w:pPr>
        <w:spacing w:line="560" w:lineRule="exact"/>
        <w:ind w:firstLine="560" w:firstLineChars="200"/>
        <w:rPr>
          <w:rFonts w:ascii="仿宋_GB2312" w:hAnsi="宋体"/>
          <w:bCs/>
          <w:sz w:val="28"/>
          <w:szCs w:val="28"/>
        </w:rPr>
      </w:pPr>
      <w:r>
        <w:rPr>
          <w:rFonts w:hint="eastAsia" w:ascii="宋体" w:hAnsi="宋体"/>
          <w:bCs/>
          <w:sz w:val="28"/>
          <w:szCs w:val="28"/>
        </w:rPr>
        <w:t>（三）合同分包履行的，乙方应当与分包承担主体就分包项目向甲方承担连带责任。</w:t>
      </w:r>
    </w:p>
    <w:p>
      <w:pPr>
        <w:pStyle w:val="5"/>
        <w:spacing w:before="0" w:after="0" w:line="560" w:lineRule="exact"/>
        <w:ind w:firstLine="560" w:firstLineChars="200"/>
        <w:rPr>
          <w:rFonts w:ascii="黑体" w:hAnsi="黑体" w:cs="黑体"/>
          <w:b w:val="0"/>
          <w:sz w:val="28"/>
          <w:szCs w:val="28"/>
        </w:rPr>
      </w:pPr>
      <w:bookmarkStart w:id="392" w:name="_Toc13068"/>
      <w:bookmarkStart w:id="393" w:name="_Toc25769"/>
      <w:bookmarkStart w:id="394" w:name="_Toc30463"/>
      <w:bookmarkStart w:id="395" w:name="_Toc83738988"/>
      <w:bookmarkStart w:id="396" w:name="_Toc112768451"/>
      <w:bookmarkStart w:id="397" w:name="_Toc16268"/>
      <w:bookmarkStart w:id="398" w:name="_Toc25756"/>
      <w:bookmarkStart w:id="399" w:name="_Toc30251"/>
      <w:bookmarkStart w:id="400" w:name="_Toc132191243"/>
      <w:bookmarkStart w:id="401" w:name="_Toc14196"/>
      <w:bookmarkStart w:id="402" w:name="_Toc16941"/>
      <w:r>
        <w:rPr>
          <w:rFonts w:hint="eastAsia" w:ascii="黑体" w:hAnsi="黑体" w:cs="黑体"/>
          <w:b w:val="0"/>
          <w:sz w:val="28"/>
          <w:szCs w:val="28"/>
        </w:rPr>
        <w:t>九、违约责任</w:t>
      </w:r>
      <w:bookmarkEnd w:id="392"/>
      <w:bookmarkEnd w:id="393"/>
      <w:bookmarkEnd w:id="394"/>
      <w:bookmarkEnd w:id="395"/>
      <w:bookmarkEnd w:id="396"/>
      <w:bookmarkEnd w:id="397"/>
      <w:bookmarkEnd w:id="398"/>
      <w:bookmarkEnd w:id="399"/>
      <w:bookmarkEnd w:id="400"/>
      <w:bookmarkEnd w:id="401"/>
      <w:bookmarkEnd w:id="402"/>
    </w:p>
    <w:p>
      <w:pPr>
        <w:spacing w:line="560" w:lineRule="exact"/>
        <w:ind w:firstLine="560" w:firstLineChars="200"/>
        <w:rPr>
          <w:rFonts w:ascii="宋体" w:hAnsi="宋体"/>
          <w:bCs/>
          <w:sz w:val="28"/>
          <w:szCs w:val="28"/>
        </w:rPr>
      </w:pPr>
      <w:r>
        <w:rPr>
          <w:rFonts w:ascii="宋体" w:hAnsi="宋体"/>
          <w:bCs/>
          <w:sz w:val="28"/>
          <w:szCs w:val="28"/>
        </w:rPr>
        <w:t>（一）乙方未经甲方同意而延期交货时，应</w:t>
      </w:r>
      <w:r>
        <w:rPr>
          <w:rFonts w:hint="eastAsia" w:ascii="宋体" w:hAnsi="宋体"/>
          <w:bCs/>
          <w:sz w:val="28"/>
          <w:szCs w:val="28"/>
        </w:rPr>
        <w:t>当</w:t>
      </w:r>
      <w:r>
        <w:rPr>
          <w:rFonts w:ascii="宋体" w:hAnsi="宋体"/>
          <w:bCs/>
          <w:sz w:val="28"/>
          <w:szCs w:val="28"/>
        </w:rPr>
        <w:t>向甲方偿付违约金，违约金每天按违约物资金额的1</w:t>
      </w:r>
      <w:r>
        <w:rPr>
          <w:rFonts w:hint="eastAsia" w:ascii="宋体" w:hAnsi="宋体"/>
          <w:bCs/>
          <w:sz w:val="28"/>
          <w:szCs w:val="28"/>
        </w:rPr>
        <w:t>‰计算，违约金最高限额为违约总金额的</w:t>
      </w:r>
      <w:r>
        <w:rPr>
          <w:rFonts w:ascii="宋体" w:hAnsi="宋体"/>
          <w:bCs/>
          <w:sz w:val="28"/>
          <w:szCs w:val="28"/>
        </w:rPr>
        <w:t>5%。如果达到违约金最高限额时仍不能交货，或交货时间影响</w:t>
      </w:r>
      <w:r>
        <w:rPr>
          <w:rFonts w:hint="eastAsia" w:ascii="宋体" w:hAnsi="宋体"/>
          <w:bCs/>
          <w:sz w:val="28"/>
          <w:szCs w:val="28"/>
        </w:rPr>
        <w:t>甲</w:t>
      </w:r>
      <w:r>
        <w:rPr>
          <w:rFonts w:ascii="宋体" w:hAnsi="宋体"/>
          <w:bCs/>
          <w:sz w:val="28"/>
          <w:szCs w:val="28"/>
        </w:rPr>
        <w:t>方任务实施，甲方可以终止合同，而由此给甲方造成的实际损失，乙方应</w:t>
      </w:r>
      <w:r>
        <w:rPr>
          <w:rFonts w:hint="eastAsia" w:ascii="宋体" w:hAnsi="宋体"/>
          <w:bCs/>
          <w:sz w:val="28"/>
          <w:szCs w:val="28"/>
        </w:rPr>
        <w:t>当</w:t>
      </w:r>
      <w:r>
        <w:rPr>
          <w:rFonts w:ascii="宋体" w:hAnsi="宋体"/>
          <w:bCs/>
          <w:sz w:val="28"/>
          <w:szCs w:val="28"/>
        </w:rPr>
        <w:t>给予足额赔偿。</w:t>
      </w:r>
    </w:p>
    <w:p>
      <w:pPr>
        <w:spacing w:line="560" w:lineRule="exact"/>
        <w:ind w:firstLine="560" w:firstLineChars="200"/>
        <w:rPr>
          <w:rFonts w:ascii="宋体" w:hAnsi="宋体"/>
          <w:bCs/>
          <w:sz w:val="28"/>
          <w:szCs w:val="28"/>
        </w:rPr>
      </w:pPr>
      <w:r>
        <w:rPr>
          <w:rFonts w:ascii="宋体" w:hAnsi="宋体"/>
          <w:bCs/>
          <w:sz w:val="28"/>
          <w:szCs w:val="28"/>
        </w:rPr>
        <w:t>（二）乙方未按合同约定履行服务义务或产品技术性能指标不达标而给</w:t>
      </w:r>
      <w:r>
        <w:rPr>
          <w:rFonts w:hint="eastAsia" w:ascii="宋体" w:hAnsi="宋体"/>
          <w:bCs/>
          <w:sz w:val="28"/>
          <w:szCs w:val="28"/>
        </w:rPr>
        <w:t>甲方</w:t>
      </w:r>
      <w:r>
        <w:rPr>
          <w:rFonts w:ascii="宋体" w:hAnsi="宋体"/>
          <w:bCs/>
          <w:sz w:val="28"/>
          <w:szCs w:val="28"/>
        </w:rPr>
        <w:t>或</w:t>
      </w:r>
      <w:r>
        <w:rPr>
          <w:rFonts w:hint="eastAsia" w:ascii="宋体" w:hAnsi="宋体"/>
          <w:bCs/>
          <w:sz w:val="28"/>
          <w:szCs w:val="28"/>
        </w:rPr>
        <w:t>产品使用单位</w:t>
      </w:r>
      <w:r>
        <w:rPr>
          <w:rFonts w:ascii="宋体" w:hAnsi="宋体"/>
          <w:bCs/>
          <w:sz w:val="28"/>
          <w:szCs w:val="28"/>
        </w:rPr>
        <w:t>造成损失的，乙方要按损失金额予以赔偿。</w:t>
      </w:r>
    </w:p>
    <w:p>
      <w:pPr>
        <w:spacing w:line="560" w:lineRule="exact"/>
        <w:ind w:firstLine="560" w:firstLineChars="200"/>
        <w:rPr>
          <w:rFonts w:ascii="仿宋_GB2312" w:hAnsi="宋体"/>
          <w:bCs/>
          <w:sz w:val="28"/>
          <w:szCs w:val="28"/>
        </w:rPr>
      </w:pPr>
      <w:r>
        <w:rPr>
          <w:rFonts w:ascii="宋体" w:hAnsi="宋体"/>
          <w:bCs/>
          <w:sz w:val="28"/>
          <w:szCs w:val="28"/>
        </w:rPr>
        <w:t>（三）甲方</w:t>
      </w:r>
      <w:r>
        <w:rPr>
          <w:rFonts w:hint="eastAsia" w:ascii="宋体" w:hAnsi="宋体"/>
          <w:bCs/>
          <w:sz w:val="28"/>
          <w:szCs w:val="28"/>
        </w:rPr>
        <w:t>需</w:t>
      </w:r>
      <w:r>
        <w:rPr>
          <w:rFonts w:ascii="宋体" w:hAnsi="宋体"/>
          <w:bCs/>
          <w:sz w:val="28"/>
          <w:szCs w:val="28"/>
        </w:rPr>
        <w:t>按约定及时足额支付货款，未按约定及时足额支付货款时，每迟付一天按违约金额1‰向乙方偿付违约金，违约金最高限额为违约总金额的5%。</w:t>
      </w:r>
    </w:p>
    <w:p>
      <w:pPr>
        <w:pStyle w:val="5"/>
        <w:spacing w:before="0" w:after="0" w:line="560" w:lineRule="exact"/>
        <w:ind w:firstLine="560" w:firstLineChars="200"/>
        <w:rPr>
          <w:b w:val="0"/>
        </w:rPr>
      </w:pPr>
      <w:bookmarkStart w:id="403" w:name="_Toc26340"/>
      <w:bookmarkStart w:id="404" w:name="_Toc132191244"/>
      <w:bookmarkStart w:id="405" w:name="_Toc112768452"/>
      <w:bookmarkStart w:id="406" w:name="_Toc21721"/>
      <w:bookmarkStart w:id="407" w:name="_Toc25283"/>
      <w:bookmarkStart w:id="408" w:name="_Toc83738989"/>
      <w:bookmarkStart w:id="409" w:name="_Toc4447"/>
      <w:bookmarkStart w:id="410" w:name="_Toc29374"/>
      <w:bookmarkStart w:id="411" w:name="_Toc22345"/>
      <w:bookmarkStart w:id="412" w:name="_Toc26452"/>
      <w:bookmarkStart w:id="413" w:name="_Toc16859"/>
      <w:r>
        <w:rPr>
          <w:rFonts w:hint="eastAsia" w:ascii="黑体" w:hAnsi="黑体" w:cs="黑体"/>
          <w:b w:val="0"/>
          <w:sz w:val="28"/>
          <w:szCs w:val="28"/>
        </w:rPr>
        <w:t>十、争议解决方式</w:t>
      </w:r>
      <w:bookmarkEnd w:id="403"/>
      <w:bookmarkEnd w:id="404"/>
      <w:bookmarkEnd w:id="405"/>
      <w:bookmarkEnd w:id="406"/>
      <w:bookmarkEnd w:id="407"/>
      <w:bookmarkEnd w:id="408"/>
      <w:bookmarkEnd w:id="409"/>
      <w:bookmarkEnd w:id="410"/>
      <w:bookmarkEnd w:id="411"/>
      <w:bookmarkEnd w:id="412"/>
      <w:bookmarkEnd w:id="413"/>
    </w:p>
    <w:p>
      <w:pPr>
        <w:spacing w:line="560" w:lineRule="exact"/>
        <w:ind w:firstLine="560" w:firstLineChars="200"/>
        <w:rPr>
          <w:rFonts w:ascii="仿宋_GB2312" w:hAnsi="宋体"/>
          <w:bCs/>
          <w:sz w:val="28"/>
          <w:szCs w:val="28"/>
        </w:rPr>
      </w:pPr>
      <w:r>
        <w:rPr>
          <w:rFonts w:hint="eastAsia" w:ascii="仿宋_GB2312" w:hAnsi="宋体"/>
          <w:bCs/>
          <w:sz w:val="28"/>
          <w:szCs w:val="28"/>
        </w:rPr>
        <w:t>合同履行过程中，发生争议时，按照下列方式解决：</w:t>
      </w:r>
    </w:p>
    <w:p>
      <w:pPr>
        <w:spacing w:line="560" w:lineRule="exact"/>
        <w:ind w:firstLine="560" w:firstLineChars="200"/>
        <w:rPr>
          <w:rFonts w:ascii="仿宋_GB2312" w:hAnsi="宋体"/>
          <w:bCs/>
          <w:sz w:val="28"/>
          <w:szCs w:val="28"/>
        </w:rPr>
      </w:pPr>
      <w:r>
        <w:rPr>
          <w:rFonts w:hint="eastAsia" w:ascii="仿宋_GB2312" w:hAnsi="宋体"/>
          <w:bCs/>
          <w:sz w:val="28"/>
          <w:szCs w:val="28"/>
        </w:rPr>
        <w:t>（一）甲方和乙方协商解决。</w:t>
      </w:r>
    </w:p>
    <w:p>
      <w:pPr>
        <w:spacing w:line="560" w:lineRule="exact"/>
        <w:ind w:firstLine="560" w:firstLineChars="200"/>
        <w:rPr>
          <w:rFonts w:ascii="仿宋_GB2312" w:hAnsi="宋体"/>
          <w:bCs/>
          <w:sz w:val="28"/>
          <w:szCs w:val="28"/>
        </w:rPr>
      </w:pPr>
      <w:r>
        <w:rPr>
          <w:rFonts w:hint="eastAsia" w:ascii="仿宋_GB2312" w:hAnsi="宋体"/>
          <w:bCs/>
          <w:sz w:val="28"/>
          <w:szCs w:val="28"/>
        </w:rPr>
        <w:t>（二）协商不一致的，甲方或乙方向采购机构负责合同履约的部门反映情况，请求第一次调解处理；第一次调解不成功的，</w:t>
      </w:r>
      <w:r>
        <w:rPr>
          <w:rFonts w:hint="eastAsia" w:asciiTheme="minorEastAsia" w:hAnsiTheme="minorEastAsia" w:eastAsiaTheme="minorEastAsia"/>
          <w:bCs/>
          <w:sz w:val="28"/>
          <w:szCs w:val="28"/>
        </w:rPr>
        <w:t>向军级单位</w:t>
      </w:r>
      <w:r>
        <w:rPr>
          <w:rFonts w:asciiTheme="minorEastAsia" w:hAnsiTheme="minorEastAsia" w:eastAsiaTheme="minorEastAsia"/>
          <w:bCs/>
          <w:sz w:val="28"/>
          <w:szCs w:val="28"/>
        </w:rPr>
        <w:t>采购管理部门或同等权限的采购管理部门</w:t>
      </w:r>
      <w:r>
        <w:rPr>
          <w:rFonts w:hint="eastAsia" w:asciiTheme="minorEastAsia" w:hAnsiTheme="minorEastAsia" w:eastAsiaTheme="minorEastAsia"/>
          <w:bCs/>
          <w:sz w:val="28"/>
          <w:szCs w:val="28"/>
        </w:rPr>
        <w:t>请求第</w:t>
      </w:r>
      <w:r>
        <w:rPr>
          <w:rFonts w:hint="eastAsia" w:ascii="仿宋_GB2312" w:hAnsi="宋体"/>
          <w:bCs/>
          <w:sz w:val="28"/>
          <w:szCs w:val="28"/>
        </w:rPr>
        <w:t>二次调解处理。</w:t>
      </w:r>
    </w:p>
    <w:p>
      <w:pPr>
        <w:spacing w:line="560" w:lineRule="exact"/>
        <w:ind w:firstLine="560" w:firstLineChars="200"/>
      </w:pPr>
      <w:r>
        <w:rPr>
          <w:rFonts w:hint="eastAsia" w:ascii="仿宋_GB2312" w:hAnsi="宋体"/>
          <w:bCs/>
          <w:sz w:val="28"/>
          <w:szCs w:val="28"/>
        </w:rPr>
        <w:t>（三）调解不成功的，甲方或乙方应当向甲方所在地的仲裁机构申请仲裁，或向甲方所在地的人民法院提起诉讼。仲裁费、诉讼费由承担责任的一方承担。在仲裁、诉讼期间，除正在仲裁、诉讼的部分外，合同的其他部分应当继续执行。</w:t>
      </w:r>
    </w:p>
    <w:p>
      <w:pPr>
        <w:widowControl/>
        <w:ind w:firstLine="880" w:firstLineChars="200"/>
        <w:jc w:val="left"/>
        <w:rPr>
          <w:bCs/>
          <w:sz w:val="44"/>
          <w:szCs w:val="44"/>
        </w:rPr>
        <w:sectPr>
          <w:headerReference r:id="rId12" w:type="first"/>
          <w:headerReference r:id="rId10" w:type="default"/>
          <w:footerReference r:id="rId13" w:type="default"/>
          <w:headerReference r:id="rId11" w:type="even"/>
          <w:pgSz w:w="11906" w:h="16838"/>
          <w:pgMar w:top="1418" w:right="1134" w:bottom="1418" w:left="1418" w:header="851" w:footer="851" w:gutter="0"/>
          <w:pgNumType w:fmt="numberInDash"/>
          <w:cols w:space="720" w:num="1"/>
        </w:sectPr>
      </w:pPr>
      <w:bookmarkStart w:id="414" w:name="_Toc112317784"/>
      <w:r>
        <w:rPr>
          <w:bCs/>
          <w:sz w:val="44"/>
          <w:szCs w:val="44"/>
        </w:rPr>
        <w:br w:type="page"/>
      </w:r>
    </w:p>
    <w:p>
      <w:pPr>
        <w:pStyle w:val="3"/>
        <w:keepNext w:val="0"/>
        <w:keepLines w:val="0"/>
        <w:adjustRightInd w:val="0"/>
        <w:snapToGrid w:val="0"/>
        <w:spacing w:line="560" w:lineRule="exact"/>
        <w:jc w:val="center"/>
        <w:rPr>
          <w:b w:val="0"/>
          <w:szCs w:val="44"/>
          <w:lang w:val="zh-CN"/>
        </w:rPr>
      </w:pPr>
      <w:bookmarkStart w:id="415" w:name="_Toc632"/>
      <w:bookmarkStart w:id="416" w:name="_Toc5265"/>
      <w:bookmarkStart w:id="417" w:name="_Toc112768455"/>
      <w:bookmarkStart w:id="418" w:name="_Toc132191245"/>
      <w:bookmarkStart w:id="419" w:name="_Toc17705"/>
      <w:bookmarkStart w:id="420" w:name="_Toc9985"/>
      <w:bookmarkStart w:id="421" w:name="_Toc3796"/>
      <w:bookmarkStart w:id="422" w:name="_Toc20714"/>
      <w:bookmarkStart w:id="423" w:name="_Toc11210"/>
      <w:r>
        <w:rPr>
          <w:rFonts w:hint="eastAsia"/>
          <w:b w:val="0"/>
          <w:szCs w:val="44"/>
          <w:lang w:val="zh-CN"/>
        </w:rPr>
        <w:t>第三章</w:t>
      </w:r>
      <w:r>
        <w:rPr>
          <w:b w:val="0"/>
          <w:szCs w:val="44"/>
          <w:lang w:val="zh-CN"/>
        </w:rPr>
        <w:t xml:space="preserve"> </w:t>
      </w:r>
      <w:bookmarkStart w:id="424" w:name="_Hlk112353117"/>
      <w:r>
        <w:rPr>
          <w:rFonts w:hint="eastAsia"/>
          <w:b w:val="0"/>
          <w:szCs w:val="44"/>
          <w:lang w:val="zh-CN"/>
        </w:rPr>
        <w:t>报价文件内容及格式</w:t>
      </w:r>
      <w:bookmarkEnd w:id="414"/>
      <w:bookmarkEnd w:id="415"/>
      <w:bookmarkEnd w:id="416"/>
      <w:bookmarkEnd w:id="417"/>
      <w:bookmarkEnd w:id="418"/>
      <w:bookmarkEnd w:id="419"/>
      <w:bookmarkEnd w:id="420"/>
      <w:bookmarkEnd w:id="421"/>
      <w:bookmarkEnd w:id="422"/>
      <w:bookmarkEnd w:id="423"/>
      <w:bookmarkEnd w:id="424"/>
    </w:p>
    <w:p>
      <w:pPr>
        <w:spacing w:line="560" w:lineRule="exact"/>
        <w:ind w:firstLine="560" w:firstLineChars="200"/>
        <w:rPr>
          <w:bCs/>
          <w:sz w:val="28"/>
          <w:szCs w:val="28"/>
        </w:rPr>
      </w:pPr>
      <w:r>
        <w:rPr>
          <w:rFonts w:hint="eastAsia"/>
          <w:bCs/>
          <w:sz w:val="28"/>
          <w:szCs w:val="28"/>
        </w:rPr>
        <w:t>报价文件分为“价格文件”“商务技术文件”和“资格证明文件”，包括但不限于本章所述内容，本章提供格式文件的请按格式要求制作。</w:t>
      </w:r>
    </w:p>
    <w:p>
      <w:pPr>
        <w:spacing w:line="560" w:lineRule="exact"/>
        <w:ind w:firstLine="560" w:firstLineChars="200"/>
        <w:rPr>
          <w:bCs/>
        </w:rPr>
      </w:pPr>
      <w:r>
        <w:rPr>
          <w:rFonts w:hint="eastAsia"/>
          <w:bCs/>
          <w:sz w:val="28"/>
          <w:szCs w:val="28"/>
        </w:rPr>
        <w:t>报价供应商制作报价文件时，应当对照《资格性审查表》《符合性审查表》《商务评审标准表》《技术评审标准表》提供尽可能详细的证明</w:t>
      </w:r>
      <w:r>
        <w:rPr>
          <w:rFonts w:hint="eastAsia" w:ascii="宋体" w:hAnsi="宋体"/>
          <w:bCs/>
          <w:sz w:val="28"/>
          <w:szCs w:val="28"/>
        </w:rPr>
        <w:t>材料</w:t>
      </w:r>
      <w:r>
        <w:rPr>
          <w:rFonts w:hint="eastAsia"/>
          <w:bCs/>
          <w:sz w:val="28"/>
          <w:szCs w:val="28"/>
        </w:rPr>
        <w:t>。</w:t>
      </w:r>
    </w:p>
    <w:p>
      <w:pPr>
        <w:spacing w:line="560" w:lineRule="exact"/>
        <w:ind w:firstLine="560" w:firstLineChars="200"/>
        <w:rPr>
          <w:bCs/>
          <w:i/>
          <w:sz w:val="28"/>
          <w:szCs w:val="28"/>
        </w:rPr>
      </w:pPr>
    </w:p>
    <w:p>
      <w:pPr>
        <w:widowControl/>
        <w:ind w:firstLine="420" w:firstLineChars="200"/>
        <w:jc w:val="left"/>
        <w:rPr>
          <w:rFonts w:ascii="宋体" w:hAnsi="宋体"/>
          <w:bCs/>
        </w:rPr>
      </w:pPr>
      <w:r>
        <w:rPr>
          <w:rFonts w:ascii="宋体" w:hAnsi="宋体"/>
          <w:bCs/>
        </w:rPr>
        <w:br w:type="page"/>
      </w:r>
    </w:p>
    <w:p>
      <w:pPr>
        <w:spacing w:before="600" w:beforeLines="250" w:after="960" w:afterLines="400" w:line="360" w:lineRule="auto"/>
        <w:jc w:val="center"/>
        <w:rPr>
          <w:rFonts w:ascii="方正小标宋简体" w:eastAsia="方正小标宋简体"/>
          <w:bCs/>
          <w:sz w:val="48"/>
          <w:szCs w:val="48"/>
        </w:rPr>
      </w:pPr>
    </w:p>
    <w:p>
      <w:pPr>
        <w:spacing w:before="600" w:beforeLines="250" w:line="480" w:lineRule="auto"/>
        <w:jc w:val="center"/>
        <w:rPr>
          <w:rFonts w:ascii="方正小标宋简体" w:eastAsia="方正小标宋简体"/>
          <w:bCs/>
          <w:sz w:val="44"/>
          <w:szCs w:val="44"/>
        </w:rPr>
      </w:pPr>
      <w:r>
        <w:rPr>
          <w:rFonts w:hint="eastAsia" w:ascii="方正小标宋简体" w:eastAsia="方正小标宋简体"/>
          <w:bCs/>
          <w:sz w:val="48"/>
          <w:szCs w:val="48"/>
        </w:rPr>
        <w:t>军队物资类项目竞争性谈判</w:t>
      </w:r>
    </w:p>
    <w:p>
      <w:pPr>
        <w:spacing w:after="480" w:afterLines="200"/>
        <w:jc w:val="center"/>
        <w:rPr>
          <w:rFonts w:ascii="方正小标宋简体" w:eastAsia="方正小标宋简体"/>
          <w:bCs/>
        </w:rPr>
      </w:pPr>
      <w:r>
        <w:rPr>
          <w:rFonts w:hint="eastAsia" w:ascii="方正小标宋简体" w:eastAsia="方正小标宋简体"/>
          <w:bCs/>
          <w:sz w:val="84"/>
          <w:szCs w:val="84"/>
        </w:rPr>
        <w:t>报 价 文 件</w:t>
      </w:r>
    </w:p>
    <w:p>
      <w:pPr>
        <w:keepNext/>
        <w:keepLines/>
        <w:spacing w:before="260" w:after="260" w:line="416" w:lineRule="auto"/>
        <w:jc w:val="center"/>
        <w:outlineLvl w:val="2"/>
        <w:rPr>
          <w:rFonts w:ascii="方正小标宋简体" w:eastAsia="方正小标宋简体"/>
          <w:bCs/>
          <w:sz w:val="52"/>
          <w:szCs w:val="52"/>
        </w:rPr>
      </w:pPr>
      <w:bookmarkStart w:id="425" w:name="_Toc81213694"/>
      <w:bookmarkStart w:id="426" w:name="_Toc132191246"/>
      <w:bookmarkStart w:id="427" w:name="_Toc8608"/>
      <w:bookmarkStart w:id="428" w:name="_Toc19419"/>
      <w:bookmarkStart w:id="429" w:name="_Toc31021"/>
      <w:bookmarkStart w:id="430" w:name="_Toc18151"/>
      <w:bookmarkStart w:id="431" w:name="_Toc3800"/>
      <w:bookmarkStart w:id="432" w:name="_Toc130887486"/>
      <w:r>
        <w:rPr>
          <w:rFonts w:hint="eastAsia" w:ascii="方正小标宋简体" w:eastAsia="方正小标宋简体"/>
          <w:bCs/>
          <w:sz w:val="52"/>
          <w:szCs w:val="52"/>
        </w:rPr>
        <w:t>一、</w:t>
      </w:r>
      <w:bookmarkEnd w:id="425"/>
      <w:r>
        <w:rPr>
          <w:rFonts w:hint="eastAsia" w:ascii="方正小标宋简体" w:eastAsia="方正小标宋简体"/>
          <w:bCs/>
          <w:sz w:val="52"/>
          <w:szCs w:val="52"/>
        </w:rPr>
        <w:t>价格文件</w:t>
      </w:r>
      <w:bookmarkEnd w:id="426"/>
      <w:bookmarkEnd w:id="427"/>
      <w:bookmarkEnd w:id="428"/>
      <w:bookmarkEnd w:id="429"/>
      <w:bookmarkEnd w:id="430"/>
      <w:bookmarkEnd w:id="431"/>
      <w:bookmarkEnd w:id="432"/>
    </w:p>
    <w:p>
      <w:pPr>
        <w:adjustRightInd w:val="0"/>
        <w:snapToGrid w:val="0"/>
        <w:spacing w:line="360" w:lineRule="auto"/>
        <w:rPr>
          <w:rFonts w:ascii="方正小标宋简体" w:hAnsi="黑体" w:eastAsia="方正小标宋简体"/>
          <w:bCs/>
          <w:sz w:val="32"/>
          <w:szCs w:val="32"/>
        </w:rPr>
      </w:pP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项目名称：</w:t>
      </w:r>
      <w:r>
        <w:rPr>
          <w:rFonts w:hint="eastAsia" w:ascii="方正小标宋简体" w:eastAsia="方正小标宋简体"/>
          <w:bCs/>
          <w:sz w:val="36"/>
          <w:szCs w:val="36"/>
          <w:u w:val="single"/>
        </w:rPr>
        <w:t xml:space="preserve">                </w:t>
      </w: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项目编号：</w:t>
      </w:r>
      <w:r>
        <w:rPr>
          <w:rFonts w:hint="eastAsia" w:ascii="方正小标宋简体" w:eastAsia="方正小标宋简体"/>
          <w:bCs/>
          <w:sz w:val="36"/>
          <w:szCs w:val="36"/>
          <w:u w:val="single"/>
        </w:rPr>
        <w:t xml:space="preserve">                </w:t>
      </w: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 xml:space="preserve">包 </w:t>
      </w:r>
      <w:r>
        <w:rPr>
          <w:rFonts w:ascii="方正小标宋简体" w:eastAsia="方正小标宋简体"/>
          <w:bCs/>
          <w:sz w:val="36"/>
          <w:szCs w:val="36"/>
        </w:rPr>
        <w:t xml:space="preserve">   </w:t>
      </w:r>
      <w:r>
        <w:rPr>
          <w:rFonts w:hint="eastAsia" w:ascii="方正小标宋简体" w:eastAsia="方正小标宋简体"/>
          <w:bCs/>
          <w:sz w:val="36"/>
          <w:szCs w:val="36"/>
        </w:rPr>
        <w:t>号：</w:t>
      </w:r>
      <w:r>
        <w:rPr>
          <w:rFonts w:hint="eastAsia" w:ascii="方正小标宋简体" w:eastAsia="方正小标宋简体"/>
          <w:bCs/>
          <w:sz w:val="36"/>
          <w:szCs w:val="36"/>
          <w:u w:val="single"/>
        </w:rPr>
        <w:t xml:space="preserve">                </w:t>
      </w: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ind w:firstLine="720" w:firstLineChars="200"/>
        <w:jc w:val="center"/>
        <w:rPr>
          <w:rFonts w:ascii="方正小标宋简体" w:eastAsia="方正小标宋简体"/>
          <w:bCs/>
          <w:sz w:val="36"/>
          <w:szCs w:val="36"/>
        </w:rPr>
      </w:pPr>
      <w:r>
        <w:rPr>
          <w:rFonts w:hint="eastAsia" w:ascii="方正小标宋简体" w:eastAsia="方正小标宋简体"/>
          <w:bCs/>
          <w:sz w:val="36"/>
          <w:szCs w:val="36"/>
        </w:rPr>
        <w:t>报价供应商：</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（盖章）</w:t>
      </w:r>
    </w:p>
    <w:p>
      <w:pPr>
        <w:spacing w:before="240" w:beforeLines="100"/>
        <w:jc w:val="center"/>
        <w:rPr>
          <w:rFonts w:ascii="方正小标宋简体" w:hAnsi="宋体" w:eastAsia="方正小标宋简体"/>
          <w:bCs/>
        </w:rPr>
      </w:pP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年</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月</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日</w:t>
      </w:r>
    </w:p>
    <w:p>
      <w:pPr>
        <w:spacing w:line="400" w:lineRule="exact"/>
        <w:ind w:firstLine="493" w:firstLineChars="235"/>
        <w:jc w:val="left"/>
        <w:rPr>
          <w:rFonts w:ascii="宋体" w:hAnsi="宋体"/>
          <w:bCs/>
        </w:rPr>
      </w:pPr>
    </w:p>
    <w:p>
      <w:pPr>
        <w:spacing w:line="400" w:lineRule="exact"/>
        <w:ind w:firstLine="493" w:firstLineChars="235"/>
        <w:jc w:val="left"/>
        <w:rPr>
          <w:rFonts w:ascii="宋体" w:hAnsi="宋体"/>
          <w:bCs/>
        </w:rPr>
        <w:sectPr>
          <w:headerReference r:id="rId16" w:type="first"/>
          <w:headerReference r:id="rId14" w:type="default"/>
          <w:headerReference r:id="rId15" w:type="even"/>
          <w:pgSz w:w="11906" w:h="16838"/>
          <w:pgMar w:top="1418" w:right="1134" w:bottom="1418" w:left="1418" w:header="851" w:footer="851" w:gutter="0"/>
          <w:pgNumType w:fmt="numberInDash"/>
          <w:cols w:space="720" w:num="1"/>
        </w:sectPr>
      </w:pPr>
    </w:p>
    <w:p>
      <w:pPr>
        <w:pStyle w:val="6"/>
        <w:spacing w:before="120" w:beforeLines="50" w:after="120" w:afterLines="50" w:line="560" w:lineRule="exact"/>
        <w:rPr>
          <w:b w:val="0"/>
        </w:rPr>
      </w:pPr>
      <w:bookmarkStart w:id="433" w:name="_Toc12113"/>
      <w:bookmarkStart w:id="434" w:name="_Toc17569"/>
      <w:bookmarkStart w:id="435" w:name="_Toc29368"/>
      <w:bookmarkStart w:id="436" w:name="_Toc112768457"/>
      <w:bookmarkStart w:id="437" w:name="_Toc27817"/>
      <w:bookmarkStart w:id="438" w:name="_Toc22837"/>
      <w:r>
        <w:rPr>
          <w:rFonts w:hint="eastAsia"/>
          <w:b w:val="0"/>
        </w:rPr>
        <w:t>附件1</w:t>
      </w:r>
      <w:r>
        <w:rPr>
          <w:b w:val="0"/>
        </w:rPr>
        <w:t xml:space="preserve">-1 </w:t>
      </w:r>
      <w:r>
        <w:rPr>
          <w:rFonts w:hint="eastAsia"/>
          <w:b w:val="0"/>
        </w:rPr>
        <w:t>报价一览表</w:t>
      </w:r>
      <w:bookmarkEnd w:id="433"/>
      <w:bookmarkEnd w:id="434"/>
      <w:bookmarkEnd w:id="435"/>
      <w:bookmarkEnd w:id="436"/>
      <w:bookmarkEnd w:id="437"/>
      <w:bookmarkEnd w:id="438"/>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报价一览表</w:t>
      </w:r>
    </w:p>
    <w:p>
      <w:pPr>
        <w:jc w:val="left"/>
        <w:rPr>
          <w:bCs/>
          <w:sz w:val="28"/>
          <w:szCs w:val="28"/>
        </w:rPr>
      </w:pPr>
      <w:r>
        <w:rPr>
          <w:rFonts w:hint="eastAsia"/>
          <w:bCs/>
          <w:sz w:val="28"/>
          <w:szCs w:val="28"/>
        </w:rPr>
        <w:t>项目名称：</w:t>
      </w:r>
      <w:r>
        <w:rPr>
          <w:bCs/>
          <w:sz w:val="28"/>
          <w:szCs w:val="28"/>
          <w:u w:val="single"/>
        </w:rPr>
        <w:t xml:space="preserve">                  </w:t>
      </w:r>
      <w:r>
        <w:rPr>
          <w:rFonts w:hint="eastAsia"/>
          <w:bCs/>
          <w:sz w:val="28"/>
          <w:szCs w:val="28"/>
        </w:rPr>
        <w:t xml:space="preserve">     项目编号：</w:t>
      </w:r>
      <w:r>
        <w:rPr>
          <w:bCs/>
          <w:sz w:val="28"/>
          <w:szCs w:val="28"/>
          <w:u w:val="single"/>
        </w:rPr>
        <w:t xml:space="preserve">               </w:t>
      </w:r>
      <w:r>
        <w:rPr>
          <w:rFonts w:hint="eastAsia"/>
          <w:bCs/>
          <w:sz w:val="28"/>
          <w:szCs w:val="28"/>
        </w:rPr>
        <w:t xml:space="preserve">     包号：</w:t>
      </w:r>
      <w:r>
        <w:rPr>
          <w:bCs/>
          <w:sz w:val="28"/>
          <w:szCs w:val="28"/>
          <w:u w:val="single"/>
        </w:rPr>
        <w:t xml:space="preserve">             </w:t>
      </w:r>
      <w:r>
        <w:rPr>
          <w:rFonts w:hint="eastAsia"/>
          <w:bCs/>
          <w:sz w:val="28"/>
          <w:szCs w:val="28"/>
        </w:rPr>
        <w:t xml:space="preserve">     金额单位：元</w:t>
      </w:r>
    </w:p>
    <w:tbl>
      <w:tblPr>
        <w:tblStyle w:val="44"/>
        <w:tblW w:w="14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960"/>
        <w:gridCol w:w="1341"/>
        <w:gridCol w:w="1619"/>
        <w:gridCol w:w="1232"/>
        <w:gridCol w:w="1112"/>
        <w:gridCol w:w="1245"/>
        <w:gridCol w:w="1179"/>
        <w:gridCol w:w="985"/>
        <w:gridCol w:w="1382"/>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序号</w:t>
            </w:r>
          </w:p>
        </w:tc>
        <w:tc>
          <w:tcPr>
            <w:tcW w:w="1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物资名称</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品牌</w:t>
            </w:r>
          </w:p>
        </w:tc>
        <w:tc>
          <w:tcPr>
            <w:tcW w:w="16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规格型号</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计量</w:t>
            </w:r>
          </w:p>
          <w:p>
            <w:pPr>
              <w:jc w:val="center"/>
              <w:rPr>
                <w:rFonts w:ascii="宋体" w:hAnsi="宋体" w:cs="宋体"/>
                <w:bCs/>
                <w:sz w:val="24"/>
              </w:rPr>
            </w:pPr>
            <w:r>
              <w:rPr>
                <w:rFonts w:hint="eastAsia" w:ascii="宋体" w:hAnsi="宋体" w:cs="宋体"/>
                <w:bCs/>
                <w:sz w:val="24"/>
              </w:rPr>
              <w:t>单位</w:t>
            </w:r>
          </w:p>
        </w:tc>
        <w:tc>
          <w:tcPr>
            <w:tcW w:w="11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数量</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单价</w:t>
            </w:r>
          </w:p>
          <w:p>
            <w:pPr>
              <w:jc w:val="center"/>
              <w:rPr>
                <w:rFonts w:ascii="宋体" w:hAnsi="宋体" w:cs="宋体"/>
                <w:bCs/>
                <w:sz w:val="24"/>
              </w:rPr>
            </w:pPr>
            <w:r>
              <w:rPr>
                <w:rFonts w:hint="eastAsia" w:ascii="宋体" w:hAnsi="宋体" w:cs="宋体"/>
                <w:bCs/>
                <w:sz w:val="24"/>
              </w:rPr>
              <w:t>（含税）</w:t>
            </w:r>
          </w:p>
        </w:tc>
        <w:tc>
          <w:tcPr>
            <w:tcW w:w="11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金额</w:t>
            </w:r>
          </w:p>
          <w:p>
            <w:pPr>
              <w:jc w:val="center"/>
              <w:rPr>
                <w:rFonts w:ascii="宋体" w:hAnsi="宋体" w:cs="宋体"/>
                <w:bCs/>
                <w:spacing w:val="-4"/>
                <w:sz w:val="24"/>
              </w:rPr>
            </w:pPr>
            <w:r>
              <w:rPr>
                <w:rFonts w:hint="eastAsia" w:ascii="宋体" w:hAnsi="宋体" w:cs="宋体"/>
                <w:bCs/>
                <w:sz w:val="24"/>
              </w:rPr>
              <w:t>（含税）</w:t>
            </w:r>
          </w:p>
        </w:tc>
        <w:tc>
          <w:tcPr>
            <w:tcW w:w="9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交货</w:t>
            </w:r>
          </w:p>
          <w:p>
            <w:pPr>
              <w:jc w:val="center"/>
              <w:rPr>
                <w:rFonts w:ascii="宋体" w:hAnsi="宋体" w:cs="宋体"/>
                <w:bCs/>
                <w:sz w:val="24"/>
              </w:rPr>
            </w:pPr>
            <w:r>
              <w:rPr>
                <w:rFonts w:hint="eastAsia" w:ascii="宋体" w:hAnsi="宋体" w:cs="宋体"/>
                <w:bCs/>
                <w:sz w:val="24"/>
              </w:rPr>
              <w:t>时间</w:t>
            </w:r>
          </w:p>
        </w:tc>
        <w:tc>
          <w:tcPr>
            <w:tcW w:w="13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交货地点</w:t>
            </w:r>
          </w:p>
        </w:tc>
        <w:tc>
          <w:tcPr>
            <w:tcW w:w="12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960"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341"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619"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232"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179"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985"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274" w:type="dxa"/>
            <w:tcBorders>
              <w:top w:val="single" w:color="auto" w:sz="4" w:space="0"/>
              <w:left w:val="single" w:color="auto" w:sz="4" w:space="0"/>
              <w:bottom w:val="single" w:color="auto" w:sz="4" w:space="0"/>
              <w:right w:val="single" w:color="auto" w:sz="4" w:space="0"/>
            </w:tcBorders>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960"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341"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619"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232"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179"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985"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274" w:type="dxa"/>
            <w:tcBorders>
              <w:top w:val="single" w:color="auto" w:sz="4" w:space="0"/>
              <w:left w:val="single" w:color="auto" w:sz="4" w:space="0"/>
              <w:bottom w:val="single" w:color="auto" w:sz="4" w:space="0"/>
              <w:right w:val="single" w:color="auto" w:sz="4" w:space="0"/>
            </w:tcBorders>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960"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341"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619"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232"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179"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985"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274" w:type="dxa"/>
            <w:tcBorders>
              <w:top w:val="single" w:color="auto" w:sz="4" w:space="0"/>
              <w:left w:val="single" w:color="auto" w:sz="4" w:space="0"/>
              <w:bottom w:val="single" w:color="auto" w:sz="4" w:space="0"/>
              <w:right w:val="single" w:color="auto" w:sz="4" w:space="0"/>
            </w:tcBorders>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7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pacing w:val="-4"/>
                <w:sz w:val="24"/>
              </w:rPr>
              <w:t>合  计</w:t>
            </w:r>
          </w:p>
        </w:tc>
        <w:tc>
          <w:tcPr>
            <w:tcW w:w="134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6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2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17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98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2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14140" w:type="dxa"/>
            <w:gridSpan w:val="11"/>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r>
              <w:rPr>
                <w:rFonts w:hint="eastAsia" w:ascii="宋体" w:hAnsi="宋体" w:cs="宋体"/>
                <w:bCs/>
                <w:spacing w:val="-4"/>
                <w:sz w:val="24"/>
              </w:rPr>
              <w:t>报价总价（人民币大写）：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14140" w:type="dxa"/>
            <w:gridSpan w:val="11"/>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Cs/>
                <w:spacing w:val="-4"/>
                <w:sz w:val="24"/>
              </w:rPr>
            </w:pPr>
            <w:r>
              <w:rPr>
                <w:rFonts w:hint="eastAsia" w:ascii="宋体" w:hAnsi="宋体" w:cs="宋体"/>
                <w:bCs/>
                <w:spacing w:val="-4"/>
                <w:sz w:val="24"/>
              </w:rPr>
              <w:t>免费保修期：                                                      保修期外维修费用：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14140" w:type="dxa"/>
            <w:gridSpan w:val="11"/>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rPr>
                <w:bCs/>
                <w:sz w:val="24"/>
              </w:rPr>
            </w:pPr>
            <w:r>
              <w:rPr>
                <w:rFonts w:hint="eastAsia"/>
                <w:bCs/>
                <w:sz w:val="24"/>
              </w:rPr>
              <w:t>说明：金额=单价×数量，报价总价=金额之和。</w:t>
            </w:r>
          </w:p>
        </w:tc>
      </w:tr>
    </w:tbl>
    <w:p>
      <w:pPr>
        <w:spacing w:before="240" w:beforeLines="100" w:after="120" w:afterLines="50"/>
        <w:rPr>
          <w:bCs/>
          <w:sz w:val="28"/>
          <w:szCs w:val="28"/>
        </w:rPr>
      </w:pPr>
      <w:r>
        <w:rPr>
          <w:rFonts w:hint="eastAsia"/>
          <w:bCs/>
          <w:sz w:val="28"/>
          <w:szCs w:val="28"/>
        </w:rPr>
        <w:t>报价供应商全称：（盖章）</w:t>
      </w:r>
      <w:r>
        <w:rPr>
          <w:bCs/>
          <w:sz w:val="28"/>
          <w:szCs w:val="28"/>
        </w:rPr>
        <w:t xml:space="preserve">                                      </w:t>
      </w:r>
      <w:r>
        <w:rPr>
          <w:rFonts w:hint="eastAsia"/>
          <w:bCs/>
          <w:sz w:val="28"/>
          <w:szCs w:val="28"/>
        </w:rPr>
        <w:t>法定代表人（或授权代表）：（签字）</w:t>
      </w:r>
    </w:p>
    <w:p>
      <w:pPr>
        <w:spacing w:before="120" w:beforeLines="50" w:after="120" w:afterLines="50"/>
        <w:ind w:firstLine="560" w:firstLineChars="200"/>
        <w:rPr>
          <w:bCs/>
          <w:sz w:val="28"/>
          <w:szCs w:val="28"/>
        </w:rPr>
      </w:pPr>
    </w:p>
    <w:p>
      <w:pPr>
        <w:spacing w:before="120" w:beforeLines="50" w:after="120" w:afterLines="50"/>
        <w:ind w:firstLine="640" w:firstLineChars="200"/>
        <w:jc w:val="center"/>
        <w:rPr>
          <w:bCs/>
          <w:sz w:val="28"/>
          <w:szCs w:val="28"/>
        </w:rPr>
      </w:pPr>
      <w:r>
        <w:rPr>
          <w:bCs/>
          <w:sz w:val="32"/>
          <w:szCs w:val="32"/>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widowControl/>
        <w:jc w:val="left"/>
        <w:rPr>
          <w:bCs/>
          <w:sz w:val="28"/>
          <w:szCs w:val="28"/>
        </w:rPr>
        <w:sectPr>
          <w:pgSz w:w="16838" w:h="11906" w:orient="landscape"/>
          <w:pgMar w:top="1418" w:right="1134" w:bottom="1418" w:left="1418" w:header="851" w:footer="851" w:gutter="0"/>
          <w:pgNumType w:fmt="numberInDash"/>
          <w:cols w:space="720" w:num="1"/>
        </w:sectPr>
      </w:pPr>
      <w:bookmarkStart w:id="439" w:name="_Toc8982"/>
      <w:bookmarkStart w:id="440" w:name="_Toc112768458"/>
      <w:bookmarkStart w:id="441" w:name="_Toc25850"/>
      <w:bookmarkStart w:id="442" w:name="_Toc6248"/>
      <w:bookmarkStart w:id="443" w:name="_Toc18182"/>
      <w:bookmarkStart w:id="444" w:name="_Toc284"/>
    </w:p>
    <w:p>
      <w:pPr>
        <w:pStyle w:val="6"/>
        <w:spacing w:before="120" w:beforeLines="50" w:after="120" w:afterLines="50" w:line="560" w:lineRule="exact"/>
        <w:rPr>
          <w:b w:val="0"/>
        </w:rPr>
      </w:pPr>
      <w:r>
        <w:rPr>
          <w:rFonts w:hint="eastAsia"/>
          <w:b w:val="0"/>
        </w:rPr>
        <w:t>附件</w:t>
      </w:r>
      <w:r>
        <w:rPr>
          <w:b w:val="0"/>
        </w:rPr>
        <w:t>1-2</w:t>
      </w:r>
      <w:r>
        <w:rPr>
          <w:rFonts w:hint="eastAsia"/>
          <w:b w:val="0"/>
        </w:rPr>
        <w:t xml:space="preserve"> 价格构成表</w:t>
      </w:r>
      <w:bookmarkEnd w:id="439"/>
      <w:bookmarkEnd w:id="440"/>
      <w:bookmarkEnd w:id="441"/>
      <w:bookmarkEnd w:id="442"/>
      <w:bookmarkEnd w:id="443"/>
      <w:bookmarkEnd w:id="444"/>
    </w:p>
    <w:p>
      <w:pPr>
        <w:tabs>
          <w:tab w:val="left" w:pos="0"/>
        </w:tabs>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价格构成表</w:t>
      </w:r>
    </w:p>
    <w:p>
      <w:pPr>
        <w:rPr>
          <w:bCs/>
          <w:sz w:val="28"/>
          <w:szCs w:val="28"/>
        </w:rPr>
      </w:pPr>
      <w:r>
        <w:rPr>
          <w:rFonts w:hint="eastAsia"/>
          <w:bCs/>
          <w:sz w:val="28"/>
          <w:szCs w:val="28"/>
        </w:rPr>
        <w:t>项目名称：</w:t>
      </w:r>
      <w:r>
        <w:rPr>
          <w:bCs/>
          <w:sz w:val="28"/>
          <w:szCs w:val="28"/>
          <w:u w:val="single"/>
        </w:rPr>
        <w:t xml:space="preserve">                  </w:t>
      </w:r>
      <w:r>
        <w:rPr>
          <w:bCs/>
          <w:sz w:val="28"/>
          <w:szCs w:val="28"/>
        </w:rPr>
        <w:t xml:space="preserve">     </w:t>
      </w:r>
      <w:r>
        <w:rPr>
          <w:rFonts w:hint="eastAsia"/>
          <w:bCs/>
          <w:sz w:val="28"/>
          <w:szCs w:val="28"/>
        </w:rPr>
        <w:t>项目编号：</w:t>
      </w:r>
      <w:r>
        <w:rPr>
          <w:bCs/>
          <w:sz w:val="28"/>
          <w:szCs w:val="28"/>
          <w:u w:val="single"/>
        </w:rPr>
        <w:t xml:space="preserve">               </w:t>
      </w:r>
      <w:r>
        <w:rPr>
          <w:bCs/>
          <w:sz w:val="28"/>
          <w:szCs w:val="28"/>
        </w:rPr>
        <w:t xml:space="preserve">     </w:t>
      </w:r>
      <w:r>
        <w:rPr>
          <w:rFonts w:hint="eastAsia"/>
          <w:bCs/>
          <w:sz w:val="28"/>
          <w:szCs w:val="28"/>
        </w:rPr>
        <w:t>包号：</w:t>
      </w:r>
      <w:r>
        <w:rPr>
          <w:bCs/>
          <w:sz w:val="28"/>
          <w:szCs w:val="28"/>
          <w:u w:val="single"/>
        </w:rPr>
        <w:t xml:space="preserve">               </w:t>
      </w:r>
      <w:r>
        <w:rPr>
          <w:bCs/>
          <w:sz w:val="28"/>
          <w:szCs w:val="28"/>
        </w:rPr>
        <w:t xml:space="preserve">     </w:t>
      </w:r>
      <w:r>
        <w:rPr>
          <w:rFonts w:hint="eastAsia"/>
          <w:bCs/>
          <w:sz w:val="28"/>
          <w:szCs w:val="28"/>
        </w:rPr>
        <w:t>金额单位：元</w:t>
      </w:r>
    </w:p>
    <w:tbl>
      <w:tblPr>
        <w:tblStyle w:val="44"/>
        <w:tblpPr w:leftFromText="180" w:rightFromText="180" w:vertAnchor="text" w:horzAnchor="margin" w:tblpX="108" w:tblpY="153"/>
        <w:tblW w:w="14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992"/>
        <w:gridCol w:w="850"/>
        <w:gridCol w:w="851"/>
        <w:gridCol w:w="760"/>
        <w:gridCol w:w="702"/>
        <w:gridCol w:w="819"/>
        <w:gridCol w:w="702"/>
        <w:gridCol w:w="702"/>
        <w:gridCol w:w="702"/>
        <w:gridCol w:w="819"/>
        <w:gridCol w:w="702"/>
        <w:gridCol w:w="702"/>
        <w:gridCol w:w="702"/>
        <w:gridCol w:w="819"/>
        <w:gridCol w:w="819"/>
        <w:gridCol w:w="702"/>
        <w:gridCol w:w="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sz w:val="24"/>
              </w:rPr>
            </w:pPr>
            <w:r>
              <w:rPr>
                <w:rFonts w:hint="eastAsia" w:ascii="宋体" w:hAnsi="宋体" w:cs="宋体"/>
                <w:bCs/>
                <w:sz w:val="24"/>
              </w:rPr>
              <w:t>物资</w:t>
            </w:r>
          </w:p>
          <w:p>
            <w:pPr>
              <w:widowControl/>
              <w:jc w:val="center"/>
              <w:rPr>
                <w:rFonts w:ascii="宋体" w:hAnsi="宋体" w:cs="宋体"/>
                <w:bCs/>
                <w:sz w:val="24"/>
              </w:rPr>
            </w:pPr>
            <w:r>
              <w:rPr>
                <w:rFonts w:hint="eastAsia" w:ascii="宋体" w:hAnsi="宋体" w:cs="宋体"/>
                <w:bCs/>
                <w:sz w:val="24"/>
              </w:rPr>
              <w:t>名称</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sz w:val="24"/>
              </w:rPr>
            </w:pPr>
            <w:r>
              <w:rPr>
                <w:rFonts w:hint="eastAsia" w:ascii="宋体" w:hAnsi="宋体" w:cs="宋体"/>
                <w:bCs/>
                <w:sz w:val="24"/>
              </w:rPr>
              <w:t>规格</w:t>
            </w:r>
          </w:p>
          <w:p>
            <w:pPr>
              <w:widowControl/>
              <w:jc w:val="center"/>
              <w:rPr>
                <w:rFonts w:ascii="宋体" w:hAnsi="宋体" w:cs="宋体"/>
                <w:bCs/>
                <w:sz w:val="24"/>
              </w:rPr>
            </w:pPr>
            <w:r>
              <w:rPr>
                <w:rFonts w:hint="eastAsia" w:ascii="宋体" w:hAnsi="宋体" w:cs="宋体"/>
                <w:bCs/>
                <w:sz w:val="24"/>
              </w:rPr>
              <w:t>型号</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sz w:val="24"/>
              </w:rPr>
            </w:pPr>
            <w:r>
              <w:rPr>
                <w:rFonts w:hint="eastAsia" w:ascii="宋体" w:hAnsi="宋体" w:cs="宋体"/>
                <w:bCs/>
                <w:sz w:val="24"/>
              </w:rPr>
              <w:t>计量</w:t>
            </w:r>
          </w:p>
          <w:p>
            <w:pPr>
              <w:widowControl/>
              <w:jc w:val="center"/>
              <w:rPr>
                <w:rFonts w:ascii="宋体" w:hAnsi="宋体" w:cs="宋体"/>
                <w:bCs/>
                <w:sz w:val="24"/>
              </w:rPr>
            </w:pPr>
            <w:r>
              <w:rPr>
                <w:rFonts w:hint="eastAsia" w:ascii="宋体" w:hAnsi="宋体" w:cs="宋体"/>
                <w:bCs/>
                <w:sz w:val="24"/>
              </w:rPr>
              <w:t>单位</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sz w:val="24"/>
              </w:rPr>
            </w:pPr>
            <w:r>
              <w:rPr>
                <w:rFonts w:hint="eastAsia" w:ascii="宋体" w:hAnsi="宋体" w:cs="宋体"/>
                <w:bCs/>
                <w:sz w:val="24"/>
              </w:rPr>
              <w:t>数量</w:t>
            </w:r>
          </w:p>
        </w:tc>
        <w:tc>
          <w:tcPr>
            <w:tcW w:w="7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sz w:val="24"/>
              </w:rPr>
            </w:pPr>
            <w:r>
              <w:rPr>
                <w:rFonts w:hint="eastAsia" w:ascii="宋体" w:hAnsi="宋体" w:cs="宋体"/>
                <w:bCs/>
                <w:sz w:val="24"/>
              </w:rPr>
              <w:t>总价</w:t>
            </w:r>
          </w:p>
        </w:tc>
        <w:tc>
          <w:tcPr>
            <w:tcW w:w="9477" w:type="dxa"/>
            <w:gridSpan w:val="1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sz w:val="24"/>
              </w:rPr>
            </w:pPr>
            <w:r>
              <w:rPr>
                <w:rFonts w:hint="eastAsia" w:ascii="宋体" w:hAnsi="宋体" w:cs="宋体"/>
                <w:bCs/>
                <w:sz w:val="24"/>
              </w:rPr>
              <w:t xml:space="preserve"> 价  格  组  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sz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sz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sz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sz w:val="24"/>
              </w:rPr>
            </w:pP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sz w:val="24"/>
              </w:rPr>
            </w:pP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sz w:val="24"/>
              </w:rPr>
            </w:pPr>
            <w:r>
              <w:rPr>
                <w:rFonts w:hint="eastAsia" w:ascii="宋体" w:hAnsi="宋体" w:cs="宋体"/>
                <w:bCs/>
                <w:sz w:val="24"/>
              </w:rPr>
              <w:t>单价</w:t>
            </w: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sz w:val="24"/>
              </w:rPr>
            </w:pPr>
            <w:r>
              <w:rPr>
                <w:rFonts w:hint="eastAsia" w:ascii="宋体" w:hAnsi="宋体" w:cs="宋体"/>
                <w:bCs/>
                <w:sz w:val="24"/>
              </w:rPr>
              <w:t>直接材料费</w:t>
            </w: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sz w:val="24"/>
              </w:rPr>
            </w:pPr>
            <w:r>
              <w:rPr>
                <w:rFonts w:hint="eastAsia" w:ascii="宋体" w:hAnsi="宋体" w:cs="宋体"/>
                <w:bCs/>
                <w:sz w:val="24"/>
              </w:rPr>
              <w:t>外购成件费</w:t>
            </w: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sz w:val="24"/>
              </w:rPr>
            </w:pPr>
            <w:r>
              <w:rPr>
                <w:rFonts w:hint="eastAsia" w:ascii="宋体" w:hAnsi="宋体" w:cs="宋体"/>
                <w:bCs/>
                <w:sz w:val="24"/>
              </w:rPr>
              <w:t>燃料及动力费</w:t>
            </w: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sz w:val="24"/>
              </w:rPr>
            </w:pPr>
            <w:r>
              <w:rPr>
                <w:rFonts w:hint="eastAsia" w:ascii="宋体" w:hAnsi="宋体" w:cs="宋体"/>
                <w:bCs/>
                <w:sz w:val="24"/>
              </w:rPr>
              <w:t>直接人工费</w:t>
            </w: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sz w:val="24"/>
              </w:rPr>
            </w:pPr>
            <w:r>
              <w:rPr>
                <w:rFonts w:hint="eastAsia" w:ascii="宋体" w:hAnsi="宋体" w:cs="宋体"/>
                <w:bCs/>
                <w:sz w:val="24"/>
              </w:rPr>
              <w:t>废品损失费</w:t>
            </w: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sz w:val="24"/>
              </w:rPr>
            </w:pPr>
            <w:r>
              <w:rPr>
                <w:rFonts w:hint="eastAsia" w:ascii="宋体" w:hAnsi="宋体" w:cs="宋体"/>
                <w:bCs/>
                <w:sz w:val="24"/>
              </w:rPr>
              <w:t>管理费用</w:t>
            </w: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sz w:val="24"/>
              </w:rPr>
            </w:pPr>
            <w:r>
              <w:rPr>
                <w:rFonts w:hint="eastAsia" w:ascii="宋体" w:hAnsi="宋体" w:cs="宋体"/>
                <w:bCs/>
                <w:sz w:val="24"/>
              </w:rPr>
              <w:t>利润</w:t>
            </w: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sz w:val="24"/>
              </w:rPr>
            </w:pPr>
            <w:r>
              <w:rPr>
                <w:rFonts w:hint="eastAsia" w:ascii="宋体" w:hAnsi="宋体" w:cs="宋体"/>
                <w:bCs/>
                <w:sz w:val="24"/>
              </w:rPr>
              <w:t>税金</w:t>
            </w: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sz w:val="24"/>
              </w:rPr>
            </w:pPr>
            <w:r>
              <w:rPr>
                <w:rFonts w:hint="eastAsia" w:ascii="宋体" w:hAnsi="宋体" w:cs="宋体"/>
                <w:bCs/>
                <w:sz w:val="24"/>
              </w:rPr>
              <w:t>备件工具费</w:t>
            </w: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sz w:val="24"/>
              </w:rPr>
            </w:pPr>
            <w:r>
              <w:rPr>
                <w:rFonts w:hint="eastAsia" w:ascii="宋体" w:hAnsi="宋体" w:cs="宋体"/>
                <w:bCs/>
                <w:sz w:val="24"/>
              </w:rPr>
              <w:t>安装调试费</w:t>
            </w: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sz w:val="24"/>
              </w:rPr>
            </w:pPr>
            <w:r>
              <w:rPr>
                <w:rFonts w:hint="eastAsia" w:ascii="宋体" w:hAnsi="宋体" w:cs="宋体"/>
                <w:bCs/>
                <w:sz w:val="24"/>
              </w:rPr>
              <w:t>技术服务费</w:t>
            </w:r>
          </w:p>
        </w:tc>
        <w:tc>
          <w:tcPr>
            <w:tcW w:w="5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sz w:val="24"/>
              </w:rPr>
            </w:pPr>
            <w:r>
              <w:rPr>
                <w:rFonts w:hint="eastAsia" w:ascii="宋体" w:hAnsi="宋体" w:cs="宋体"/>
                <w:bCs/>
                <w:sz w:val="24"/>
              </w:rPr>
              <w:t>运杂费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2</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3</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4</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5</w:t>
            </w: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6</w:t>
            </w: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7</w:t>
            </w: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8</w:t>
            </w: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9</w:t>
            </w: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10</w:t>
            </w: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11</w:t>
            </w: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12</w:t>
            </w: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13</w:t>
            </w: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14</w:t>
            </w: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15</w:t>
            </w: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16</w:t>
            </w: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17</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4031" w:type="dxa"/>
            <w:gridSpan w:val="18"/>
            <w:tcBorders>
              <w:top w:val="single" w:color="auto" w:sz="4" w:space="0"/>
              <w:left w:val="single" w:color="auto" w:sz="4" w:space="0"/>
              <w:bottom w:val="single" w:color="auto" w:sz="4" w:space="0"/>
              <w:right w:val="single" w:color="auto" w:sz="4" w:space="0"/>
            </w:tcBorders>
            <w:vAlign w:val="center"/>
          </w:tcPr>
          <w:p>
            <w:pPr>
              <w:rPr>
                <w:bCs/>
                <w:sz w:val="24"/>
              </w:rPr>
            </w:pPr>
            <w:r>
              <w:rPr>
                <w:rFonts w:hint="eastAsia" w:ascii="宋体" w:hAnsi="宋体" w:cs="宋体"/>
                <w:bCs/>
                <w:sz w:val="24"/>
              </w:rPr>
              <w:t>物资总金额（大写人民币）：                                                （</w:t>
            </w:r>
            <w:r>
              <w:rPr>
                <w:rFonts w:hint="eastAsia" w:ascii="宋体" w:hAnsi="宋体" w:cs="宋体"/>
                <w:bCs/>
                <w:spacing w:val="-4"/>
                <w:sz w:val="24"/>
              </w:rPr>
              <w:t>小写</w:t>
            </w:r>
            <w:r>
              <w:rPr>
                <w:rFonts w:hint="eastAsia" w:ascii="宋体" w:hAnsi="宋体" w:cs="宋体"/>
                <w:bCs/>
                <w:sz w:val="24"/>
              </w:rPr>
              <w:t>）</w:t>
            </w:r>
            <w:r>
              <w:rPr>
                <w:rFonts w:hint="eastAsia" w:ascii="宋体" w:hAnsi="宋体" w:cs="宋体"/>
                <w:bCs/>
                <w:spacing w:val="-4"/>
                <w:sz w:val="24"/>
              </w:rPr>
              <w:t>¥</w:t>
            </w:r>
            <w:r>
              <w:rPr>
                <w:rFonts w:hint="eastAsia" w:ascii="宋体" w:hAnsi="宋体" w:cs="宋体"/>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4031" w:type="dxa"/>
            <w:gridSpan w:val="18"/>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rPr>
                <w:rFonts w:ascii="宋体" w:hAnsi="宋体"/>
                <w:bCs/>
                <w:sz w:val="24"/>
              </w:rPr>
            </w:pPr>
            <w:r>
              <w:rPr>
                <w:rFonts w:ascii="宋体" w:hAnsi="宋体"/>
                <w:bCs/>
                <w:sz w:val="24"/>
              </w:rPr>
              <w:t>说明</w:t>
            </w:r>
            <w:r>
              <w:rPr>
                <w:rFonts w:hint="eastAsia" w:ascii="宋体" w:hAnsi="宋体"/>
                <w:bCs/>
                <w:sz w:val="24"/>
              </w:rPr>
              <w:t>：</w:t>
            </w:r>
            <w:r>
              <w:rPr>
                <w:rFonts w:ascii="宋体" w:hAnsi="宋体"/>
                <w:bCs/>
                <w:sz w:val="24"/>
              </w:rPr>
              <w:t>1.项5=项6×项4</w:t>
            </w:r>
          </w:p>
          <w:p>
            <w:pPr>
              <w:spacing w:before="120" w:beforeLines="50" w:after="120" w:afterLines="50"/>
              <w:ind w:firstLine="480" w:firstLineChars="200"/>
              <w:rPr>
                <w:rFonts w:ascii="宋体" w:hAnsi="宋体"/>
                <w:bCs/>
                <w:sz w:val="28"/>
                <w:szCs w:val="28"/>
              </w:rPr>
            </w:pPr>
            <w:r>
              <w:rPr>
                <w:rFonts w:ascii="宋体" w:hAnsi="宋体"/>
                <w:bCs/>
                <w:sz w:val="24"/>
              </w:rPr>
              <w:t xml:space="preserve"> 2.项6=项7+项8+项9+项10+项11+项12+项13+项14+项15+项16+项17+项18</w:t>
            </w:r>
          </w:p>
        </w:tc>
      </w:tr>
    </w:tbl>
    <w:p>
      <w:pPr>
        <w:spacing w:before="240" w:beforeLines="100" w:after="120" w:afterLines="50"/>
        <w:rPr>
          <w:bCs/>
        </w:rPr>
      </w:pPr>
      <w:r>
        <w:rPr>
          <w:rFonts w:hint="eastAsia"/>
          <w:bCs/>
          <w:sz w:val="28"/>
          <w:szCs w:val="28"/>
        </w:rPr>
        <w:t>报价供应商全称：（盖章）</w:t>
      </w:r>
      <w:r>
        <w:rPr>
          <w:bCs/>
          <w:sz w:val="28"/>
          <w:szCs w:val="28"/>
        </w:rPr>
        <w:t xml:space="preserve">                                   </w:t>
      </w:r>
      <w:r>
        <w:rPr>
          <w:rFonts w:hint="eastAsia"/>
          <w:bCs/>
          <w:sz w:val="28"/>
          <w:szCs w:val="28"/>
        </w:rPr>
        <w:t>法定代表人（或授权代表）：（签字）</w:t>
      </w:r>
    </w:p>
    <w:p>
      <w:pPr>
        <w:spacing w:before="120" w:beforeLines="50" w:after="120" w:afterLines="50"/>
        <w:ind w:firstLine="560" w:firstLineChars="200"/>
        <w:rPr>
          <w:bCs/>
          <w:sz w:val="28"/>
          <w:szCs w:val="28"/>
        </w:rPr>
      </w:pPr>
    </w:p>
    <w:p>
      <w:pPr>
        <w:spacing w:before="120" w:beforeLines="50" w:after="120" w:afterLines="50"/>
        <w:ind w:firstLine="640" w:firstLineChars="200"/>
        <w:jc w:val="center"/>
        <w:rPr>
          <w:bCs/>
          <w:sz w:val="28"/>
          <w:szCs w:val="28"/>
        </w:rPr>
      </w:pPr>
      <w:r>
        <w:rPr>
          <w:bCs/>
          <w:sz w:val="32"/>
          <w:szCs w:val="32"/>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widowControl/>
        <w:spacing w:before="120" w:beforeLines="50" w:after="120" w:afterLines="50"/>
        <w:jc w:val="left"/>
        <w:rPr>
          <w:bCs/>
          <w:sz w:val="28"/>
          <w:szCs w:val="28"/>
        </w:rPr>
        <w:sectPr>
          <w:pgSz w:w="16838" w:h="11906" w:orient="landscape"/>
          <w:pgMar w:top="1418" w:right="1134" w:bottom="1418" w:left="1418" w:header="851" w:footer="851" w:gutter="0"/>
          <w:pgNumType w:fmt="numberInDash"/>
          <w:cols w:space="720" w:num="1"/>
        </w:sectPr>
      </w:pPr>
    </w:p>
    <w:p>
      <w:pPr>
        <w:pStyle w:val="6"/>
        <w:spacing w:before="120" w:beforeLines="50" w:after="120" w:afterLines="50" w:line="560" w:lineRule="exact"/>
        <w:rPr>
          <w:b w:val="0"/>
          <w:bCs w:val="0"/>
        </w:rPr>
      </w:pPr>
      <w:bookmarkStart w:id="445" w:name="_Toc20843"/>
      <w:bookmarkStart w:id="446" w:name="_Toc8089"/>
      <w:bookmarkStart w:id="447" w:name="_Toc17649"/>
      <w:bookmarkStart w:id="448" w:name="_Toc5803"/>
      <w:bookmarkStart w:id="449" w:name="_Toc32421"/>
      <w:bookmarkStart w:id="450" w:name="_Toc112768459"/>
      <w:bookmarkStart w:id="451" w:name="_Toc437"/>
      <w:r>
        <w:rPr>
          <w:rFonts w:hint="eastAsia"/>
          <w:b w:val="0"/>
          <w:bCs w:val="0"/>
        </w:rPr>
        <w:t>附件1-3 物资材料、部件、工具价格明细表</w:t>
      </w:r>
      <w:bookmarkEnd w:id="445"/>
      <w:bookmarkEnd w:id="446"/>
      <w:bookmarkEnd w:id="447"/>
      <w:r>
        <w:rPr>
          <w:rFonts w:hint="eastAsia"/>
          <w:b w:val="0"/>
          <w:bCs w:val="0"/>
          <w:lang w:eastAsia="zh-CN"/>
        </w:rPr>
        <w:t>（如有）</w:t>
      </w:r>
    </w:p>
    <w:p>
      <w:pPr>
        <w:spacing w:before="120" w:beforeLines="50" w:after="120" w:afterLines="50" w:line="560" w:lineRule="exact"/>
        <w:jc w:val="center"/>
        <w:rPr>
          <w:rFonts w:ascii="黑体" w:hAnsi="黑体" w:eastAsia="黑体" w:cs="黑体"/>
          <w:sz w:val="36"/>
          <w:szCs w:val="36"/>
          <w:lang w:val="zh-CN"/>
        </w:rPr>
      </w:pPr>
      <w:r>
        <w:rPr>
          <w:rFonts w:hint="eastAsia" w:ascii="黑体" w:hAnsi="黑体" w:eastAsia="黑体" w:cs="黑体"/>
          <w:sz w:val="36"/>
          <w:szCs w:val="36"/>
          <w:lang w:val="zh-CN"/>
        </w:rPr>
        <w:t>物资材料、部件、工具价格明细表</w:t>
      </w:r>
    </w:p>
    <w:p>
      <w:pPr>
        <w:autoSpaceDE w:val="0"/>
        <w:autoSpaceDN w:val="0"/>
        <w:adjustRightInd w:val="0"/>
        <w:jc w:val="left"/>
        <w:rPr>
          <w:rFonts w:eastAsia="华文中宋"/>
          <w:sz w:val="28"/>
          <w:szCs w:val="28"/>
          <w:lang w:val="zh-CN"/>
        </w:rPr>
      </w:pPr>
      <w:r>
        <w:rPr>
          <w:rFonts w:hint="eastAsia"/>
          <w:sz w:val="28"/>
          <w:szCs w:val="28"/>
        </w:rPr>
        <w:t>项目名称：</w:t>
      </w:r>
      <w:r>
        <w:rPr>
          <w:sz w:val="28"/>
          <w:szCs w:val="28"/>
          <w:u w:val="single"/>
        </w:rPr>
        <w:t xml:space="preserve">          </w:t>
      </w:r>
      <w:r>
        <w:rPr>
          <w:sz w:val="28"/>
          <w:szCs w:val="28"/>
        </w:rPr>
        <w:t xml:space="preserve">     </w:t>
      </w:r>
      <w:r>
        <w:rPr>
          <w:rFonts w:hint="eastAsia"/>
          <w:sz w:val="28"/>
          <w:szCs w:val="28"/>
        </w:rPr>
        <w:t>项目编号：</w:t>
      </w:r>
      <w:r>
        <w:rPr>
          <w:sz w:val="28"/>
          <w:szCs w:val="28"/>
          <w:u w:val="single"/>
        </w:rPr>
        <w:t xml:space="preserve">          </w:t>
      </w:r>
      <w:r>
        <w:rPr>
          <w:sz w:val="28"/>
          <w:szCs w:val="28"/>
        </w:rPr>
        <w:t xml:space="preserve">   </w:t>
      </w:r>
      <w:r>
        <w:rPr>
          <w:rFonts w:hint="eastAsia"/>
          <w:sz w:val="28"/>
          <w:szCs w:val="28"/>
        </w:rPr>
        <w:t>包号：</w:t>
      </w:r>
      <w:r>
        <w:rPr>
          <w:sz w:val="28"/>
          <w:szCs w:val="28"/>
          <w:u w:val="single"/>
        </w:rPr>
        <w:t xml:space="preserve">          </w:t>
      </w:r>
    </w:p>
    <w:tbl>
      <w:tblPr>
        <w:tblStyle w:val="44"/>
        <w:tblW w:w="5000" w:type="pct"/>
        <w:tblInd w:w="0" w:type="dxa"/>
        <w:tblLayout w:type="autofit"/>
        <w:tblCellMar>
          <w:top w:w="0" w:type="dxa"/>
          <w:left w:w="108" w:type="dxa"/>
          <w:bottom w:w="0" w:type="dxa"/>
          <w:right w:w="108" w:type="dxa"/>
        </w:tblCellMar>
      </w:tblPr>
      <w:tblGrid>
        <w:gridCol w:w="790"/>
        <w:gridCol w:w="1589"/>
        <w:gridCol w:w="857"/>
        <w:gridCol w:w="1116"/>
        <w:gridCol w:w="1058"/>
        <w:gridCol w:w="1219"/>
        <w:gridCol w:w="789"/>
        <w:gridCol w:w="947"/>
        <w:gridCol w:w="1205"/>
      </w:tblGrid>
      <w:tr>
        <w:tblPrEx>
          <w:tblCellMar>
            <w:top w:w="0" w:type="dxa"/>
            <w:left w:w="108" w:type="dxa"/>
            <w:bottom w:w="0" w:type="dxa"/>
            <w:right w:w="108" w:type="dxa"/>
          </w:tblCellMar>
        </w:tblPrEx>
        <w:trPr>
          <w:cantSplit/>
          <w:trHeight w:val="616" w:hRule="atLeast"/>
        </w:trPr>
        <w:tc>
          <w:tcPr>
            <w:tcW w:w="413" w:type="pct"/>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sz w:val="24"/>
              </w:rPr>
            </w:pPr>
            <w:r>
              <w:rPr>
                <w:rFonts w:hint="eastAsia" w:ascii="宋体" w:hAnsi="宋体" w:cs="宋体"/>
                <w:sz w:val="24"/>
              </w:rPr>
              <w:t>序号</w:t>
            </w:r>
          </w:p>
        </w:tc>
        <w:tc>
          <w:tcPr>
            <w:tcW w:w="830"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rPr>
            </w:pPr>
            <w:r>
              <w:rPr>
                <w:rFonts w:hint="eastAsia" w:ascii="宋体" w:hAnsi="宋体" w:cs="宋体"/>
                <w:sz w:val="24"/>
              </w:rPr>
              <w:t>项目</w:t>
            </w:r>
          </w:p>
        </w:tc>
        <w:tc>
          <w:tcPr>
            <w:tcW w:w="448"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rPr>
            </w:pPr>
            <w:r>
              <w:rPr>
                <w:rFonts w:hint="eastAsia" w:ascii="宋体" w:hAnsi="宋体" w:cs="宋体"/>
                <w:sz w:val="24"/>
              </w:rPr>
              <w:t>规格</w:t>
            </w:r>
          </w:p>
          <w:p>
            <w:pPr>
              <w:widowControl/>
              <w:jc w:val="center"/>
              <w:rPr>
                <w:rFonts w:ascii="宋体" w:hAnsi="宋体" w:cs="宋体"/>
                <w:sz w:val="24"/>
              </w:rPr>
            </w:pPr>
            <w:r>
              <w:rPr>
                <w:rFonts w:hint="eastAsia" w:ascii="宋体" w:hAnsi="宋体" w:cs="宋体"/>
                <w:sz w:val="24"/>
              </w:rPr>
              <w:t>型号</w:t>
            </w:r>
          </w:p>
        </w:tc>
        <w:tc>
          <w:tcPr>
            <w:tcW w:w="583" w:type="pct"/>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sz w:val="24"/>
              </w:rPr>
            </w:pPr>
            <w:r>
              <w:rPr>
                <w:rFonts w:hint="eastAsia" w:ascii="宋体" w:hAnsi="宋体" w:cs="宋体"/>
                <w:sz w:val="24"/>
              </w:rPr>
              <w:t>执行</w:t>
            </w:r>
          </w:p>
          <w:p>
            <w:pPr>
              <w:widowControl/>
              <w:jc w:val="center"/>
              <w:rPr>
                <w:rFonts w:ascii="宋体" w:hAnsi="宋体" w:cs="宋体"/>
                <w:sz w:val="24"/>
              </w:rPr>
            </w:pPr>
            <w:r>
              <w:rPr>
                <w:rFonts w:hint="eastAsia" w:ascii="宋体" w:hAnsi="宋体" w:cs="宋体"/>
                <w:sz w:val="24"/>
              </w:rPr>
              <w:t>标准</w:t>
            </w:r>
          </w:p>
        </w:tc>
        <w:tc>
          <w:tcPr>
            <w:tcW w:w="553"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rPr>
            </w:pPr>
            <w:r>
              <w:rPr>
                <w:rFonts w:hint="eastAsia" w:ascii="宋体" w:hAnsi="宋体" w:cs="宋体"/>
                <w:sz w:val="24"/>
              </w:rPr>
              <w:t>计量</w:t>
            </w:r>
          </w:p>
          <w:p>
            <w:pPr>
              <w:widowControl/>
              <w:jc w:val="center"/>
              <w:rPr>
                <w:rFonts w:ascii="宋体" w:hAnsi="宋体" w:cs="宋体"/>
                <w:sz w:val="24"/>
              </w:rPr>
            </w:pPr>
            <w:r>
              <w:rPr>
                <w:rFonts w:hint="eastAsia" w:ascii="宋体" w:hAnsi="宋体" w:cs="宋体"/>
                <w:sz w:val="24"/>
              </w:rPr>
              <w:t>单位</w:t>
            </w:r>
          </w:p>
        </w:tc>
        <w:tc>
          <w:tcPr>
            <w:tcW w:w="637"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rPr>
            </w:pPr>
            <w:r>
              <w:rPr>
                <w:rFonts w:hint="eastAsia" w:ascii="宋体" w:hAnsi="宋体" w:cs="宋体"/>
                <w:sz w:val="24"/>
              </w:rPr>
              <w:t>定额/消耗数量</w:t>
            </w:r>
          </w:p>
        </w:tc>
        <w:tc>
          <w:tcPr>
            <w:tcW w:w="412"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rPr>
            </w:pPr>
            <w:r>
              <w:rPr>
                <w:rFonts w:hint="eastAsia" w:ascii="宋体" w:hAnsi="宋体" w:cs="宋体"/>
                <w:sz w:val="24"/>
              </w:rPr>
              <w:t>单价(元)</w:t>
            </w:r>
          </w:p>
        </w:tc>
        <w:tc>
          <w:tcPr>
            <w:tcW w:w="495"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rPr>
            </w:pPr>
            <w:r>
              <w:rPr>
                <w:rFonts w:hint="eastAsia" w:ascii="宋体" w:hAnsi="宋体" w:cs="宋体"/>
                <w:sz w:val="24"/>
              </w:rPr>
              <w:t>金额(元)</w:t>
            </w:r>
          </w:p>
        </w:tc>
        <w:tc>
          <w:tcPr>
            <w:tcW w:w="629" w:type="pct"/>
            <w:vMerge w:val="restart"/>
            <w:tcBorders>
              <w:top w:val="single" w:color="auto" w:sz="4" w:space="0"/>
              <w:left w:val="single" w:color="auto" w:sz="4" w:space="0"/>
              <w:bottom w:val="single" w:color="000000" w:sz="4" w:space="0"/>
              <w:right w:val="single" w:color="auto" w:sz="8" w:space="0"/>
            </w:tcBorders>
            <w:vAlign w:val="center"/>
          </w:tcPr>
          <w:p>
            <w:pPr>
              <w:widowControl/>
              <w:jc w:val="center"/>
              <w:rPr>
                <w:rFonts w:ascii="宋体" w:hAnsi="宋体" w:cs="宋体"/>
                <w:sz w:val="24"/>
              </w:rPr>
            </w:pPr>
            <w:r>
              <w:rPr>
                <w:rFonts w:hint="eastAsia" w:ascii="宋体" w:hAnsi="宋体" w:cs="宋体"/>
                <w:sz w:val="24"/>
              </w:rPr>
              <w:t>产地或生产企业</w:t>
            </w:r>
          </w:p>
        </w:tc>
      </w:tr>
      <w:tr>
        <w:tblPrEx>
          <w:tblCellMar>
            <w:top w:w="0" w:type="dxa"/>
            <w:left w:w="108" w:type="dxa"/>
            <w:bottom w:w="0" w:type="dxa"/>
            <w:right w:w="108" w:type="dxa"/>
          </w:tblCellMar>
        </w:tblPrEx>
        <w:trPr>
          <w:cantSplit/>
          <w:trHeight w:val="388" w:hRule="atLeast"/>
        </w:trPr>
        <w:tc>
          <w:tcPr>
            <w:tcW w:w="413" w:type="pct"/>
            <w:vMerge w:val="continue"/>
            <w:tcBorders>
              <w:top w:val="single" w:color="auto" w:sz="4" w:space="0"/>
              <w:left w:val="single" w:color="auto" w:sz="8" w:space="0"/>
              <w:bottom w:val="single" w:color="auto" w:sz="4" w:space="0"/>
              <w:right w:val="single" w:color="auto" w:sz="4" w:space="0"/>
            </w:tcBorders>
            <w:vAlign w:val="center"/>
          </w:tcPr>
          <w:p>
            <w:pPr>
              <w:widowControl/>
              <w:jc w:val="left"/>
              <w:rPr>
                <w:sz w:val="24"/>
              </w:rPr>
            </w:pPr>
          </w:p>
        </w:tc>
        <w:tc>
          <w:tcPr>
            <w:tcW w:w="83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44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583"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sz w:val="24"/>
              </w:rPr>
            </w:pPr>
          </w:p>
        </w:tc>
        <w:tc>
          <w:tcPr>
            <w:tcW w:w="55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63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41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49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629" w:type="pct"/>
            <w:vMerge w:val="continue"/>
            <w:tcBorders>
              <w:top w:val="single" w:color="auto" w:sz="4" w:space="0"/>
              <w:left w:val="single" w:color="auto" w:sz="4" w:space="0"/>
              <w:bottom w:val="single" w:color="000000" w:sz="4" w:space="0"/>
              <w:right w:val="single" w:color="auto" w:sz="8" w:space="0"/>
            </w:tcBorders>
            <w:vAlign w:val="center"/>
          </w:tcPr>
          <w:p>
            <w:pPr>
              <w:widowControl/>
              <w:jc w:val="left"/>
              <w:rPr>
                <w:sz w:val="24"/>
              </w:rPr>
            </w:pPr>
          </w:p>
        </w:tc>
      </w:tr>
      <w:tr>
        <w:tblPrEx>
          <w:tblCellMar>
            <w:top w:w="0" w:type="dxa"/>
            <w:left w:w="108" w:type="dxa"/>
            <w:bottom w:w="0" w:type="dxa"/>
            <w:right w:w="108" w:type="dxa"/>
          </w:tblCellMar>
        </w:tblPrEx>
        <w:trPr>
          <w:trHeight w:val="454" w:hRule="atLeast"/>
        </w:trPr>
        <w:tc>
          <w:tcPr>
            <w:tcW w:w="413" w:type="pct"/>
            <w:tcBorders>
              <w:top w:val="nil"/>
              <w:left w:val="single" w:color="auto" w:sz="8" w:space="0"/>
              <w:bottom w:val="single" w:color="auto" w:sz="2" w:space="0"/>
              <w:right w:val="single" w:color="auto" w:sz="4" w:space="0"/>
            </w:tcBorders>
            <w:vAlign w:val="center"/>
          </w:tcPr>
          <w:p>
            <w:pPr>
              <w:widowControl/>
              <w:jc w:val="center"/>
              <w:rPr>
                <w:sz w:val="24"/>
              </w:rPr>
            </w:pPr>
            <w:r>
              <w:rPr>
                <w:rFonts w:hint="eastAsia"/>
                <w:sz w:val="24"/>
              </w:rPr>
              <w:t>一</w:t>
            </w:r>
          </w:p>
        </w:tc>
        <w:tc>
          <w:tcPr>
            <w:tcW w:w="830" w:type="pct"/>
            <w:tcBorders>
              <w:top w:val="nil"/>
              <w:left w:val="nil"/>
              <w:bottom w:val="single" w:color="auto" w:sz="2" w:space="0"/>
              <w:right w:val="single" w:color="auto" w:sz="4" w:space="0"/>
            </w:tcBorders>
            <w:vAlign w:val="center"/>
          </w:tcPr>
          <w:p>
            <w:pPr>
              <w:widowControl/>
              <w:jc w:val="left"/>
              <w:rPr>
                <w:sz w:val="24"/>
              </w:rPr>
            </w:pPr>
            <w:r>
              <w:rPr>
                <w:rFonts w:hint="eastAsia"/>
                <w:sz w:val="24"/>
              </w:rPr>
              <w:t>直接材料费</w:t>
            </w:r>
          </w:p>
        </w:tc>
        <w:tc>
          <w:tcPr>
            <w:tcW w:w="448" w:type="pct"/>
            <w:tcBorders>
              <w:top w:val="nil"/>
              <w:left w:val="nil"/>
              <w:bottom w:val="single" w:color="auto" w:sz="2" w:space="0"/>
              <w:right w:val="single" w:color="auto" w:sz="4" w:space="0"/>
            </w:tcBorders>
            <w:vAlign w:val="center"/>
          </w:tcPr>
          <w:p>
            <w:pPr>
              <w:widowControl/>
              <w:jc w:val="center"/>
              <w:rPr>
                <w:sz w:val="24"/>
              </w:rPr>
            </w:pPr>
          </w:p>
        </w:tc>
        <w:tc>
          <w:tcPr>
            <w:tcW w:w="583" w:type="pct"/>
            <w:tcBorders>
              <w:top w:val="nil"/>
              <w:left w:val="nil"/>
              <w:bottom w:val="single" w:color="auto" w:sz="2" w:space="0"/>
              <w:right w:val="single" w:color="auto" w:sz="4" w:space="0"/>
            </w:tcBorders>
            <w:vAlign w:val="center"/>
          </w:tcPr>
          <w:p>
            <w:pPr>
              <w:widowControl/>
              <w:jc w:val="center"/>
              <w:rPr>
                <w:sz w:val="24"/>
              </w:rPr>
            </w:pPr>
          </w:p>
        </w:tc>
        <w:tc>
          <w:tcPr>
            <w:tcW w:w="553" w:type="pct"/>
            <w:tcBorders>
              <w:top w:val="nil"/>
              <w:left w:val="nil"/>
              <w:bottom w:val="single" w:color="auto" w:sz="2" w:space="0"/>
              <w:right w:val="single" w:color="auto" w:sz="4" w:space="0"/>
            </w:tcBorders>
            <w:vAlign w:val="center"/>
          </w:tcPr>
          <w:p>
            <w:pPr>
              <w:widowControl/>
              <w:jc w:val="center"/>
              <w:rPr>
                <w:sz w:val="24"/>
              </w:rPr>
            </w:pPr>
          </w:p>
        </w:tc>
        <w:tc>
          <w:tcPr>
            <w:tcW w:w="637" w:type="pct"/>
            <w:tcBorders>
              <w:top w:val="nil"/>
              <w:left w:val="nil"/>
              <w:bottom w:val="single" w:color="auto" w:sz="2" w:space="0"/>
              <w:right w:val="single" w:color="auto" w:sz="4" w:space="0"/>
            </w:tcBorders>
            <w:vAlign w:val="center"/>
          </w:tcPr>
          <w:p>
            <w:pPr>
              <w:widowControl/>
              <w:jc w:val="center"/>
              <w:rPr>
                <w:sz w:val="24"/>
              </w:rPr>
            </w:pPr>
          </w:p>
        </w:tc>
        <w:tc>
          <w:tcPr>
            <w:tcW w:w="412" w:type="pct"/>
            <w:tcBorders>
              <w:top w:val="nil"/>
              <w:left w:val="nil"/>
              <w:bottom w:val="single" w:color="auto" w:sz="2" w:space="0"/>
              <w:right w:val="single" w:color="auto" w:sz="4" w:space="0"/>
            </w:tcBorders>
            <w:vAlign w:val="center"/>
          </w:tcPr>
          <w:p>
            <w:pPr>
              <w:widowControl/>
              <w:jc w:val="center"/>
              <w:rPr>
                <w:sz w:val="24"/>
              </w:rPr>
            </w:pPr>
          </w:p>
        </w:tc>
        <w:tc>
          <w:tcPr>
            <w:tcW w:w="495" w:type="pct"/>
            <w:tcBorders>
              <w:top w:val="nil"/>
              <w:left w:val="nil"/>
              <w:bottom w:val="single" w:color="auto" w:sz="2" w:space="0"/>
              <w:right w:val="single" w:color="auto" w:sz="4" w:space="0"/>
            </w:tcBorders>
            <w:vAlign w:val="center"/>
          </w:tcPr>
          <w:p>
            <w:pPr>
              <w:widowControl/>
              <w:jc w:val="center"/>
              <w:rPr>
                <w:sz w:val="24"/>
              </w:rPr>
            </w:pPr>
          </w:p>
        </w:tc>
        <w:tc>
          <w:tcPr>
            <w:tcW w:w="630" w:type="pct"/>
            <w:tcBorders>
              <w:top w:val="nil"/>
              <w:left w:val="nil"/>
              <w:bottom w:val="single" w:color="auto" w:sz="2" w:space="0"/>
              <w:right w:val="single" w:color="auto" w:sz="8" w:space="0"/>
            </w:tcBorders>
            <w:vAlign w:val="center"/>
          </w:tcPr>
          <w:p>
            <w:pPr>
              <w:widowControl/>
              <w:jc w:val="center"/>
              <w:rPr>
                <w:sz w:val="24"/>
              </w:rPr>
            </w:pPr>
          </w:p>
        </w:tc>
      </w:tr>
      <w:tr>
        <w:tblPrEx>
          <w:tblCellMar>
            <w:top w:w="0" w:type="dxa"/>
            <w:left w:w="108" w:type="dxa"/>
            <w:bottom w:w="0" w:type="dxa"/>
            <w:right w:w="108" w:type="dxa"/>
          </w:tblCellMar>
        </w:tblPrEx>
        <w:trPr>
          <w:trHeight w:val="454" w:hRule="atLeast"/>
        </w:trPr>
        <w:tc>
          <w:tcPr>
            <w:tcW w:w="413" w:type="pct"/>
            <w:tcBorders>
              <w:top w:val="single" w:color="auto" w:sz="2" w:space="0"/>
              <w:left w:val="single" w:color="auto" w:sz="8" w:space="0"/>
              <w:bottom w:val="single" w:color="auto" w:sz="4" w:space="0"/>
              <w:right w:val="single" w:color="auto" w:sz="4" w:space="0"/>
            </w:tcBorders>
            <w:vAlign w:val="center"/>
          </w:tcPr>
          <w:p>
            <w:pPr>
              <w:jc w:val="center"/>
              <w:rPr>
                <w:rFonts w:ascii="宋体" w:hAnsi="宋体"/>
                <w:sz w:val="24"/>
              </w:rPr>
            </w:pPr>
            <w:r>
              <w:rPr>
                <w:rFonts w:ascii="宋体" w:hAnsi="宋体"/>
                <w:sz w:val="24"/>
              </w:rPr>
              <w:t>1</w:t>
            </w:r>
          </w:p>
        </w:tc>
        <w:tc>
          <w:tcPr>
            <w:tcW w:w="830" w:type="pct"/>
            <w:tcBorders>
              <w:top w:val="single" w:color="auto" w:sz="2" w:space="0"/>
              <w:left w:val="nil"/>
              <w:bottom w:val="single" w:color="auto" w:sz="4" w:space="0"/>
              <w:right w:val="single" w:color="auto" w:sz="4" w:space="0"/>
            </w:tcBorders>
            <w:vAlign w:val="center"/>
          </w:tcPr>
          <w:p>
            <w:pPr>
              <w:jc w:val="left"/>
              <w:rPr>
                <w:sz w:val="24"/>
              </w:rPr>
            </w:pPr>
          </w:p>
        </w:tc>
        <w:tc>
          <w:tcPr>
            <w:tcW w:w="448" w:type="pct"/>
            <w:tcBorders>
              <w:top w:val="single" w:color="auto" w:sz="2" w:space="0"/>
              <w:left w:val="nil"/>
              <w:bottom w:val="single" w:color="auto" w:sz="4" w:space="0"/>
              <w:right w:val="single" w:color="auto" w:sz="4" w:space="0"/>
            </w:tcBorders>
            <w:vAlign w:val="center"/>
          </w:tcPr>
          <w:p>
            <w:pPr>
              <w:jc w:val="center"/>
              <w:rPr>
                <w:sz w:val="24"/>
              </w:rPr>
            </w:pPr>
          </w:p>
        </w:tc>
        <w:tc>
          <w:tcPr>
            <w:tcW w:w="583" w:type="pct"/>
            <w:tcBorders>
              <w:top w:val="single" w:color="auto" w:sz="2" w:space="0"/>
              <w:left w:val="nil"/>
              <w:bottom w:val="single" w:color="auto" w:sz="4" w:space="0"/>
              <w:right w:val="single" w:color="auto" w:sz="4" w:space="0"/>
            </w:tcBorders>
            <w:vAlign w:val="center"/>
          </w:tcPr>
          <w:p>
            <w:pPr>
              <w:jc w:val="center"/>
              <w:rPr>
                <w:sz w:val="24"/>
              </w:rPr>
            </w:pPr>
          </w:p>
        </w:tc>
        <w:tc>
          <w:tcPr>
            <w:tcW w:w="553" w:type="pct"/>
            <w:tcBorders>
              <w:top w:val="single" w:color="auto" w:sz="2" w:space="0"/>
              <w:left w:val="nil"/>
              <w:bottom w:val="single" w:color="auto" w:sz="4" w:space="0"/>
              <w:right w:val="single" w:color="auto" w:sz="4" w:space="0"/>
            </w:tcBorders>
            <w:vAlign w:val="center"/>
          </w:tcPr>
          <w:p>
            <w:pPr>
              <w:jc w:val="center"/>
              <w:rPr>
                <w:sz w:val="24"/>
              </w:rPr>
            </w:pPr>
          </w:p>
        </w:tc>
        <w:tc>
          <w:tcPr>
            <w:tcW w:w="637" w:type="pct"/>
            <w:tcBorders>
              <w:top w:val="single" w:color="auto" w:sz="2" w:space="0"/>
              <w:left w:val="nil"/>
              <w:bottom w:val="single" w:color="auto" w:sz="4" w:space="0"/>
              <w:right w:val="single" w:color="auto" w:sz="4" w:space="0"/>
            </w:tcBorders>
            <w:vAlign w:val="center"/>
          </w:tcPr>
          <w:p>
            <w:pPr>
              <w:jc w:val="center"/>
              <w:rPr>
                <w:sz w:val="24"/>
              </w:rPr>
            </w:pPr>
          </w:p>
        </w:tc>
        <w:tc>
          <w:tcPr>
            <w:tcW w:w="412" w:type="pct"/>
            <w:tcBorders>
              <w:top w:val="single" w:color="auto" w:sz="2" w:space="0"/>
              <w:left w:val="nil"/>
              <w:bottom w:val="single" w:color="auto" w:sz="4" w:space="0"/>
              <w:right w:val="single" w:color="auto" w:sz="4" w:space="0"/>
            </w:tcBorders>
            <w:vAlign w:val="center"/>
          </w:tcPr>
          <w:p>
            <w:pPr>
              <w:jc w:val="center"/>
              <w:rPr>
                <w:sz w:val="24"/>
              </w:rPr>
            </w:pPr>
          </w:p>
        </w:tc>
        <w:tc>
          <w:tcPr>
            <w:tcW w:w="495" w:type="pct"/>
            <w:tcBorders>
              <w:top w:val="single" w:color="auto" w:sz="2" w:space="0"/>
              <w:left w:val="nil"/>
              <w:bottom w:val="single" w:color="auto" w:sz="4" w:space="0"/>
              <w:right w:val="single" w:color="auto" w:sz="4" w:space="0"/>
            </w:tcBorders>
            <w:vAlign w:val="center"/>
          </w:tcPr>
          <w:p>
            <w:pPr>
              <w:jc w:val="center"/>
              <w:rPr>
                <w:sz w:val="24"/>
              </w:rPr>
            </w:pPr>
          </w:p>
        </w:tc>
        <w:tc>
          <w:tcPr>
            <w:tcW w:w="630" w:type="pct"/>
            <w:tcBorders>
              <w:top w:val="single" w:color="auto" w:sz="2" w:space="0"/>
              <w:left w:val="nil"/>
              <w:bottom w:val="single" w:color="auto" w:sz="4" w:space="0"/>
              <w:right w:val="single" w:color="auto" w:sz="8" w:space="0"/>
            </w:tcBorders>
            <w:vAlign w:val="center"/>
          </w:tcPr>
          <w:p>
            <w:pPr>
              <w:jc w:val="center"/>
              <w:rPr>
                <w:sz w:val="24"/>
              </w:rPr>
            </w:pPr>
          </w:p>
        </w:tc>
      </w:tr>
      <w:tr>
        <w:tblPrEx>
          <w:tblCellMar>
            <w:top w:w="0" w:type="dxa"/>
            <w:left w:w="108" w:type="dxa"/>
            <w:bottom w:w="0" w:type="dxa"/>
            <w:right w:w="108" w:type="dxa"/>
          </w:tblCellMar>
        </w:tblPrEx>
        <w:trPr>
          <w:trHeight w:val="454" w:hRule="atLeast"/>
        </w:trPr>
        <w:tc>
          <w:tcPr>
            <w:tcW w:w="413" w:type="pct"/>
            <w:tcBorders>
              <w:top w:val="nil"/>
              <w:left w:val="single" w:color="auto" w:sz="8" w:space="0"/>
              <w:bottom w:val="single" w:color="auto" w:sz="4" w:space="0"/>
              <w:right w:val="single" w:color="auto" w:sz="4" w:space="0"/>
            </w:tcBorders>
            <w:vAlign w:val="center"/>
          </w:tcPr>
          <w:p>
            <w:pPr>
              <w:widowControl/>
              <w:jc w:val="center"/>
              <w:rPr>
                <w:rFonts w:ascii="宋体" w:hAnsi="宋体"/>
                <w:sz w:val="24"/>
              </w:rPr>
            </w:pPr>
            <w:r>
              <w:rPr>
                <w:rFonts w:ascii="宋体" w:hAnsi="宋体"/>
                <w:sz w:val="24"/>
              </w:rPr>
              <w:t>2</w:t>
            </w:r>
          </w:p>
        </w:tc>
        <w:tc>
          <w:tcPr>
            <w:tcW w:w="830" w:type="pct"/>
            <w:tcBorders>
              <w:top w:val="nil"/>
              <w:left w:val="nil"/>
              <w:bottom w:val="single" w:color="auto" w:sz="4" w:space="0"/>
              <w:right w:val="single" w:color="auto" w:sz="4" w:space="0"/>
            </w:tcBorders>
            <w:vAlign w:val="center"/>
          </w:tcPr>
          <w:p>
            <w:pPr>
              <w:widowControl/>
              <w:jc w:val="left"/>
              <w:rPr>
                <w:sz w:val="24"/>
              </w:rPr>
            </w:pPr>
          </w:p>
        </w:tc>
        <w:tc>
          <w:tcPr>
            <w:tcW w:w="448" w:type="pct"/>
            <w:tcBorders>
              <w:top w:val="nil"/>
              <w:left w:val="nil"/>
              <w:bottom w:val="single" w:color="auto" w:sz="4" w:space="0"/>
              <w:right w:val="single" w:color="auto" w:sz="4" w:space="0"/>
            </w:tcBorders>
            <w:vAlign w:val="center"/>
          </w:tcPr>
          <w:p>
            <w:pPr>
              <w:widowControl/>
              <w:jc w:val="center"/>
              <w:rPr>
                <w:sz w:val="24"/>
              </w:rPr>
            </w:pPr>
          </w:p>
        </w:tc>
        <w:tc>
          <w:tcPr>
            <w:tcW w:w="583" w:type="pct"/>
            <w:tcBorders>
              <w:top w:val="nil"/>
              <w:left w:val="nil"/>
              <w:bottom w:val="single" w:color="auto" w:sz="4" w:space="0"/>
              <w:right w:val="single" w:color="auto" w:sz="4" w:space="0"/>
            </w:tcBorders>
            <w:vAlign w:val="center"/>
          </w:tcPr>
          <w:p>
            <w:pPr>
              <w:widowControl/>
              <w:jc w:val="center"/>
              <w:rPr>
                <w:sz w:val="24"/>
              </w:rPr>
            </w:pPr>
          </w:p>
        </w:tc>
        <w:tc>
          <w:tcPr>
            <w:tcW w:w="553" w:type="pct"/>
            <w:tcBorders>
              <w:top w:val="nil"/>
              <w:left w:val="nil"/>
              <w:bottom w:val="single" w:color="auto" w:sz="4" w:space="0"/>
              <w:right w:val="single" w:color="auto" w:sz="4" w:space="0"/>
            </w:tcBorders>
            <w:vAlign w:val="center"/>
          </w:tcPr>
          <w:p>
            <w:pPr>
              <w:widowControl/>
              <w:jc w:val="center"/>
              <w:rPr>
                <w:sz w:val="24"/>
              </w:rPr>
            </w:pPr>
          </w:p>
        </w:tc>
        <w:tc>
          <w:tcPr>
            <w:tcW w:w="637" w:type="pct"/>
            <w:tcBorders>
              <w:top w:val="nil"/>
              <w:left w:val="nil"/>
              <w:bottom w:val="single" w:color="auto" w:sz="4" w:space="0"/>
              <w:right w:val="single" w:color="auto" w:sz="4" w:space="0"/>
            </w:tcBorders>
            <w:vAlign w:val="center"/>
          </w:tcPr>
          <w:p>
            <w:pPr>
              <w:widowControl/>
              <w:jc w:val="center"/>
              <w:rPr>
                <w:sz w:val="24"/>
              </w:rPr>
            </w:pPr>
          </w:p>
        </w:tc>
        <w:tc>
          <w:tcPr>
            <w:tcW w:w="412" w:type="pct"/>
            <w:tcBorders>
              <w:top w:val="nil"/>
              <w:left w:val="nil"/>
              <w:bottom w:val="single" w:color="auto" w:sz="4" w:space="0"/>
              <w:right w:val="single" w:color="auto" w:sz="4" w:space="0"/>
            </w:tcBorders>
            <w:vAlign w:val="center"/>
          </w:tcPr>
          <w:p>
            <w:pPr>
              <w:widowControl/>
              <w:jc w:val="center"/>
              <w:rPr>
                <w:sz w:val="24"/>
              </w:rPr>
            </w:pPr>
          </w:p>
        </w:tc>
        <w:tc>
          <w:tcPr>
            <w:tcW w:w="495" w:type="pct"/>
            <w:tcBorders>
              <w:top w:val="nil"/>
              <w:left w:val="nil"/>
              <w:bottom w:val="single" w:color="auto" w:sz="4" w:space="0"/>
              <w:right w:val="single" w:color="auto" w:sz="4" w:space="0"/>
            </w:tcBorders>
            <w:vAlign w:val="center"/>
          </w:tcPr>
          <w:p>
            <w:pPr>
              <w:widowControl/>
              <w:jc w:val="center"/>
              <w:rPr>
                <w:sz w:val="24"/>
              </w:rPr>
            </w:pPr>
          </w:p>
        </w:tc>
        <w:tc>
          <w:tcPr>
            <w:tcW w:w="630" w:type="pct"/>
            <w:tcBorders>
              <w:top w:val="nil"/>
              <w:left w:val="nil"/>
              <w:bottom w:val="single" w:color="auto" w:sz="4" w:space="0"/>
              <w:right w:val="single" w:color="auto" w:sz="8" w:space="0"/>
            </w:tcBorders>
            <w:vAlign w:val="center"/>
          </w:tcPr>
          <w:p>
            <w:pPr>
              <w:widowControl/>
              <w:jc w:val="center"/>
              <w:rPr>
                <w:sz w:val="24"/>
              </w:rPr>
            </w:pPr>
          </w:p>
        </w:tc>
      </w:tr>
      <w:tr>
        <w:tblPrEx>
          <w:tblCellMar>
            <w:top w:w="0" w:type="dxa"/>
            <w:left w:w="108" w:type="dxa"/>
            <w:bottom w:w="0" w:type="dxa"/>
            <w:right w:w="108" w:type="dxa"/>
          </w:tblCellMar>
        </w:tblPrEx>
        <w:trPr>
          <w:trHeight w:val="454" w:hRule="atLeast"/>
        </w:trPr>
        <w:tc>
          <w:tcPr>
            <w:tcW w:w="413" w:type="pct"/>
            <w:tcBorders>
              <w:top w:val="nil"/>
              <w:left w:val="single" w:color="auto" w:sz="8" w:space="0"/>
              <w:bottom w:val="single" w:color="auto" w:sz="4" w:space="0"/>
              <w:right w:val="single" w:color="auto" w:sz="4" w:space="0"/>
            </w:tcBorders>
            <w:vAlign w:val="center"/>
          </w:tcPr>
          <w:p>
            <w:pPr>
              <w:widowControl/>
              <w:jc w:val="center"/>
              <w:rPr>
                <w:sz w:val="24"/>
              </w:rPr>
            </w:pPr>
          </w:p>
        </w:tc>
        <w:tc>
          <w:tcPr>
            <w:tcW w:w="830" w:type="pct"/>
            <w:tcBorders>
              <w:top w:val="nil"/>
              <w:left w:val="nil"/>
              <w:bottom w:val="single" w:color="auto" w:sz="4" w:space="0"/>
              <w:right w:val="single" w:color="auto" w:sz="4" w:space="0"/>
            </w:tcBorders>
            <w:vAlign w:val="center"/>
          </w:tcPr>
          <w:p>
            <w:pPr>
              <w:widowControl/>
              <w:jc w:val="left"/>
              <w:rPr>
                <w:sz w:val="24"/>
              </w:rPr>
            </w:pPr>
            <w:r>
              <w:rPr>
                <w:sz w:val="24"/>
              </w:rPr>
              <w:t>……</w:t>
            </w:r>
          </w:p>
        </w:tc>
        <w:tc>
          <w:tcPr>
            <w:tcW w:w="448" w:type="pct"/>
            <w:tcBorders>
              <w:top w:val="nil"/>
              <w:left w:val="nil"/>
              <w:bottom w:val="single" w:color="auto" w:sz="4" w:space="0"/>
              <w:right w:val="single" w:color="auto" w:sz="4" w:space="0"/>
            </w:tcBorders>
            <w:vAlign w:val="center"/>
          </w:tcPr>
          <w:p>
            <w:pPr>
              <w:widowControl/>
              <w:jc w:val="center"/>
              <w:rPr>
                <w:sz w:val="24"/>
              </w:rPr>
            </w:pPr>
          </w:p>
        </w:tc>
        <w:tc>
          <w:tcPr>
            <w:tcW w:w="583" w:type="pct"/>
            <w:tcBorders>
              <w:top w:val="nil"/>
              <w:left w:val="nil"/>
              <w:bottom w:val="single" w:color="auto" w:sz="4" w:space="0"/>
              <w:right w:val="single" w:color="auto" w:sz="4" w:space="0"/>
            </w:tcBorders>
            <w:vAlign w:val="center"/>
          </w:tcPr>
          <w:p>
            <w:pPr>
              <w:widowControl/>
              <w:jc w:val="center"/>
              <w:rPr>
                <w:sz w:val="24"/>
              </w:rPr>
            </w:pPr>
          </w:p>
        </w:tc>
        <w:tc>
          <w:tcPr>
            <w:tcW w:w="553" w:type="pct"/>
            <w:tcBorders>
              <w:top w:val="nil"/>
              <w:left w:val="nil"/>
              <w:bottom w:val="single" w:color="auto" w:sz="4" w:space="0"/>
              <w:right w:val="single" w:color="auto" w:sz="4" w:space="0"/>
            </w:tcBorders>
            <w:vAlign w:val="center"/>
          </w:tcPr>
          <w:p>
            <w:pPr>
              <w:widowControl/>
              <w:jc w:val="center"/>
              <w:rPr>
                <w:sz w:val="24"/>
              </w:rPr>
            </w:pPr>
          </w:p>
        </w:tc>
        <w:tc>
          <w:tcPr>
            <w:tcW w:w="637" w:type="pct"/>
            <w:tcBorders>
              <w:top w:val="nil"/>
              <w:left w:val="nil"/>
              <w:bottom w:val="single" w:color="auto" w:sz="4" w:space="0"/>
              <w:right w:val="single" w:color="auto" w:sz="4" w:space="0"/>
            </w:tcBorders>
            <w:vAlign w:val="center"/>
          </w:tcPr>
          <w:p>
            <w:pPr>
              <w:widowControl/>
              <w:jc w:val="center"/>
              <w:rPr>
                <w:sz w:val="24"/>
              </w:rPr>
            </w:pPr>
          </w:p>
        </w:tc>
        <w:tc>
          <w:tcPr>
            <w:tcW w:w="412" w:type="pct"/>
            <w:tcBorders>
              <w:top w:val="nil"/>
              <w:left w:val="nil"/>
              <w:bottom w:val="single" w:color="auto" w:sz="4" w:space="0"/>
              <w:right w:val="single" w:color="auto" w:sz="4" w:space="0"/>
            </w:tcBorders>
            <w:vAlign w:val="center"/>
          </w:tcPr>
          <w:p>
            <w:pPr>
              <w:widowControl/>
              <w:jc w:val="center"/>
              <w:rPr>
                <w:sz w:val="24"/>
              </w:rPr>
            </w:pPr>
          </w:p>
        </w:tc>
        <w:tc>
          <w:tcPr>
            <w:tcW w:w="495" w:type="pct"/>
            <w:tcBorders>
              <w:top w:val="nil"/>
              <w:left w:val="nil"/>
              <w:bottom w:val="single" w:color="auto" w:sz="4" w:space="0"/>
              <w:right w:val="single" w:color="auto" w:sz="4" w:space="0"/>
            </w:tcBorders>
            <w:vAlign w:val="center"/>
          </w:tcPr>
          <w:p>
            <w:pPr>
              <w:widowControl/>
              <w:jc w:val="center"/>
              <w:rPr>
                <w:sz w:val="24"/>
              </w:rPr>
            </w:pPr>
          </w:p>
        </w:tc>
        <w:tc>
          <w:tcPr>
            <w:tcW w:w="630" w:type="pct"/>
            <w:tcBorders>
              <w:top w:val="nil"/>
              <w:left w:val="nil"/>
              <w:bottom w:val="single" w:color="auto" w:sz="4" w:space="0"/>
              <w:right w:val="single" w:color="auto" w:sz="8" w:space="0"/>
            </w:tcBorders>
            <w:vAlign w:val="center"/>
          </w:tcPr>
          <w:p>
            <w:pPr>
              <w:widowControl/>
              <w:jc w:val="center"/>
              <w:rPr>
                <w:sz w:val="24"/>
              </w:rPr>
            </w:pPr>
          </w:p>
        </w:tc>
      </w:tr>
      <w:tr>
        <w:tblPrEx>
          <w:tblCellMar>
            <w:top w:w="0" w:type="dxa"/>
            <w:left w:w="108" w:type="dxa"/>
            <w:bottom w:w="0" w:type="dxa"/>
            <w:right w:w="108" w:type="dxa"/>
          </w:tblCellMar>
        </w:tblPrEx>
        <w:trPr>
          <w:trHeight w:val="454" w:hRule="atLeast"/>
        </w:trPr>
        <w:tc>
          <w:tcPr>
            <w:tcW w:w="413" w:type="pct"/>
            <w:tcBorders>
              <w:top w:val="nil"/>
              <w:left w:val="single" w:color="auto" w:sz="8" w:space="0"/>
              <w:bottom w:val="single" w:color="auto" w:sz="4" w:space="0"/>
              <w:right w:val="single" w:color="auto" w:sz="4" w:space="0"/>
            </w:tcBorders>
            <w:vAlign w:val="center"/>
          </w:tcPr>
          <w:p>
            <w:pPr>
              <w:widowControl/>
              <w:jc w:val="center"/>
              <w:rPr>
                <w:sz w:val="24"/>
              </w:rPr>
            </w:pPr>
            <w:r>
              <w:rPr>
                <w:rFonts w:hint="eastAsia"/>
                <w:sz w:val="24"/>
              </w:rPr>
              <w:t>二</w:t>
            </w:r>
          </w:p>
        </w:tc>
        <w:tc>
          <w:tcPr>
            <w:tcW w:w="830" w:type="pct"/>
            <w:tcBorders>
              <w:top w:val="nil"/>
              <w:left w:val="nil"/>
              <w:bottom w:val="single" w:color="auto" w:sz="4" w:space="0"/>
              <w:right w:val="single" w:color="auto" w:sz="4" w:space="0"/>
            </w:tcBorders>
            <w:vAlign w:val="center"/>
          </w:tcPr>
          <w:p>
            <w:pPr>
              <w:widowControl/>
              <w:jc w:val="left"/>
              <w:rPr>
                <w:sz w:val="24"/>
              </w:rPr>
            </w:pPr>
            <w:r>
              <w:rPr>
                <w:rFonts w:hint="eastAsia"/>
                <w:sz w:val="24"/>
              </w:rPr>
              <w:t>外购成件费</w:t>
            </w:r>
          </w:p>
        </w:tc>
        <w:tc>
          <w:tcPr>
            <w:tcW w:w="448" w:type="pct"/>
            <w:tcBorders>
              <w:top w:val="nil"/>
              <w:left w:val="nil"/>
              <w:bottom w:val="single" w:color="auto" w:sz="4" w:space="0"/>
              <w:right w:val="single" w:color="auto" w:sz="4" w:space="0"/>
            </w:tcBorders>
            <w:vAlign w:val="center"/>
          </w:tcPr>
          <w:p>
            <w:pPr>
              <w:widowControl/>
              <w:jc w:val="center"/>
              <w:rPr>
                <w:sz w:val="24"/>
              </w:rPr>
            </w:pPr>
          </w:p>
        </w:tc>
        <w:tc>
          <w:tcPr>
            <w:tcW w:w="583" w:type="pct"/>
            <w:tcBorders>
              <w:top w:val="nil"/>
              <w:left w:val="nil"/>
              <w:bottom w:val="single" w:color="auto" w:sz="4" w:space="0"/>
              <w:right w:val="single" w:color="auto" w:sz="4" w:space="0"/>
            </w:tcBorders>
            <w:vAlign w:val="center"/>
          </w:tcPr>
          <w:p>
            <w:pPr>
              <w:widowControl/>
              <w:jc w:val="center"/>
              <w:rPr>
                <w:sz w:val="24"/>
              </w:rPr>
            </w:pPr>
          </w:p>
        </w:tc>
        <w:tc>
          <w:tcPr>
            <w:tcW w:w="553" w:type="pct"/>
            <w:tcBorders>
              <w:top w:val="nil"/>
              <w:left w:val="nil"/>
              <w:bottom w:val="single" w:color="auto" w:sz="4" w:space="0"/>
              <w:right w:val="single" w:color="auto" w:sz="4" w:space="0"/>
            </w:tcBorders>
            <w:vAlign w:val="center"/>
          </w:tcPr>
          <w:p>
            <w:pPr>
              <w:widowControl/>
              <w:jc w:val="center"/>
              <w:rPr>
                <w:sz w:val="24"/>
              </w:rPr>
            </w:pPr>
          </w:p>
        </w:tc>
        <w:tc>
          <w:tcPr>
            <w:tcW w:w="637" w:type="pct"/>
            <w:tcBorders>
              <w:top w:val="nil"/>
              <w:left w:val="nil"/>
              <w:bottom w:val="single" w:color="auto" w:sz="4" w:space="0"/>
              <w:right w:val="single" w:color="auto" w:sz="4" w:space="0"/>
            </w:tcBorders>
            <w:vAlign w:val="center"/>
          </w:tcPr>
          <w:p>
            <w:pPr>
              <w:widowControl/>
              <w:jc w:val="center"/>
              <w:rPr>
                <w:sz w:val="24"/>
              </w:rPr>
            </w:pPr>
          </w:p>
        </w:tc>
        <w:tc>
          <w:tcPr>
            <w:tcW w:w="412" w:type="pct"/>
            <w:tcBorders>
              <w:top w:val="nil"/>
              <w:left w:val="nil"/>
              <w:bottom w:val="single" w:color="auto" w:sz="4" w:space="0"/>
              <w:right w:val="single" w:color="auto" w:sz="4" w:space="0"/>
            </w:tcBorders>
            <w:vAlign w:val="center"/>
          </w:tcPr>
          <w:p>
            <w:pPr>
              <w:widowControl/>
              <w:jc w:val="center"/>
              <w:rPr>
                <w:sz w:val="24"/>
              </w:rPr>
            </w:pPr>
          </w:p>
        </w:tc>
        <w:tc>
          <w:tcPr>
            <w:tcW w:w="495" w:type="pct"/>
            <w:tcBorders>
              <w:top w:val="nil"/>
              <w:left w:val="nil"/>
              <w:bottom w:val="single" w:color="auto" w:sz="4" w:space="0"/>
              <w:right w:val="single" w:color="auto" w:sz="4" w:space="0"/>
            </w:tcBorders>
            <w:vAlign w:val="center"/>
          </w:tcPr>
          <w:p>
            <w:pPr>
              <w:widowControl/>
              <w:jc w:val="center"/>
              <w:rPr>
                <w:sz w:val="24"/>
              </w:rPr>
            </w:pPr>
          </w:p>
        </w:tc>
        <w:tc>
          <w:tcPr>
            <w:tcW w:w="630" w:type="pct"/>
            <w:tcBorders>
              <w:top w:val="nil"/>
              <w:left w:val="nil"/>
              <w:bottom w:val="single" w:color="auto" w:sz="4" w:space="0"/>
              <w:right w:val="single" w:color="auto" w:sz="8" w:space="0"/>
            </w:tcBorders>
            <w:vAlign w:val="center"/>
          </w:tcPr>
          <w:p>
            <w:pPr>
              <w:widowControl/>
              <w:jc w:val="center"/>
              <w:rPr>
                <w:sz w:val="24"/>
              </w:rPr>
            </w:pPr>
          </w:p>
        </w:tc>
      </w:tr>
      <w:tr>
        <w:tblPrEx>
          <w:tblCellMar>
            <w:top w:w="0" w:type="dxa"/>
            <w:left w:w="108" w:type="dxa"/>
            <w:bottom w:w="0" w:type="dxa"/>
            <w:right w:w="108" w:type="dxa"/>
          </w:tblCellMar>
        </w:tblPrEx>
        <w:trPr>
          <w:trHeight w:val="454" w:hRule="atLeast"/>
        </w:trPr>
        <w:tc>
          <w:tcPr>
            <w:tcW w:w="413" w:type="pct"/>
            <w:tcBorders>
              <w:top w:val="nil"/>
              <w:left w:val="single" w:color="auto" w:sz="8" w:space="0"/>
              <w:bottom w:val="single" w:color="auto" w:sz="4" w:space="0"/>
              <w:right w:val="single" w:color="auto" w:sz="4" w:space="0"/>
            </w:tcBorders>
            <w:vAlign w:val="center"/>
          </w:tcPr>
          <w:p>
            <w:pPr>
              <w:widowControl/>
              <w:jc w:val="center"/>
              <w:rPr>
                <w:sz w:val="24"/>
              </w:rPr>
            </w:pPr>
          </w:p>
        </w:tc>
        <w:tc>
          <w:tcPr>
            <w:tcW w:w="830" w:type="pct"/>
            <w:tcBorders>
              <w:top w:val="nil"/>
              <w:left w:val="nil"/>
              <w:bottom w:val="single" w:color="auto" w:sz="4" w:space="0"/>
              <w:right w:val="single" w:color="auto" w:sz="4" w:space="0"/>
            </w:tcBorders>
            <w:vAlign w:val="center"/>
          </w:tcPr>
          <w:p>
            <w:pPr>
              <w:widowControl/>
              <w:jc w:val="left"/>
              <w:rPr>
                <w:sz w:val="24"/>
              </w:rPr>
            </w:pPr>
          </w:p>
        </w:tc>
        <w:tc>
          <w:tcPr>
            <w:tcW w:w="448" w:type="pct"/>
            <w:tcBorders>
              <w:top w:val="nil"/>
              <w:left w:val="nil"/>
              <w:bottom w:val="single" w:color="auto" w:sz="4" w:space="0"/>
              <w:right w:val="single" w:color="auto" w:sz="4" w:space="0"/>
            </w:tcBorders>
            <w:vAlign w:val="center"/>
          </w:tcPr>
          <w:p>
            <w:pPr>
              <w:widowControl/>
              <w:jc w:val="center"/>
              <w:rPr>
                <w:sz w:val="24"/>
              </w:rPr>
            </w:pPr>
          </w:p>
        </w:tc>
        <w:tc>
          <w:tcPr>
            <w:tcW w:w="583" w:type="pct"/>
            <w:tcBorders>
              <w:top w:val="nil"/>
              <w:left w:val="nil"/>
              <w:bottom w:val="single" w:color="auto" w:sz="4" w:space="0"/>
              <w:right w:val="single" w:color="auto" w:sz="4" w:space="0"/>
            </w:tcBorders>
            <w:vAlign w:val="center"/>
          </w:tcPr>
          <w:p>
            <w:pPr>
              <w:widowControl/>
              <w:jc w:val="center"/>
              <w:rPr>
                <w:sz w:val="24"/>
              </w:rPr>
            </w:pPr>
          </w:p>
        </w:tc>
        <w:tc>
          <w:tcPr>
            <w:tcW w:w="553" w:type="pct"/>
            <w:tcBorders>
              <w:top w:val="nil"/>
              <w:left w:val="nil"/>
              <w:bottom w:val="single" w:color="auto" w:sz="4" w:space="0"/>
              <w:right w:val="single" w:color="auto" w:sz="4" w:space="0"/>
            </w:tcBorders>
            <w:vAlign w:val="center"/>
          </w:tcPr>
          <w:p>
            <w:pPr>
              <w:widowControl/>
              <w:jc w:val="center"/>
              <w:rPr>
                <w:sz w:val="24"/>
              </w:rPr>
            </w:pPr>
          </w:p>
        </w:tc>
        <w:tc>
          <w:tcPr>
            <w:tcW w:w="637" w:type="pct"/>
            <w:tcBorders>
              <w:top w:val="nil"/>
              <w:left w:val="nil"/>
              <w:bottom w:val="single" w:color="auto" w:sz="4" w:space="0"/>
              <w:right w:val="single" w:color="auto" w:sz="4" w:space="0"/>
            </w:tcBorders>
            <w:vAlign w:val="center"/>
          </w:tcPr>
          <w:p>
            <w:pPr>
              <w:widowControl/>
              <w:jc w:val="center"/>
              <w:rPr>
                <w:sz w:val="24"/>
              </w:rPr>
            </w:pPr>
          </w:p>
        </w:tc>
        <w:tc>
          <w:tcPr>
            <w:tcW w:w="412" w:type="pct"/>
            <w:tcBorders>
              <w:top w:val="nil"/>
              <w:left w:val="nil"/>
              <w:bottom w:val="single" w:color="auto" w:sz="4" w:space="0"/>
              <w:right w:val="single" w:color="auto" w:sz="4" w:space="0"/>
            </w:tcBorders>
            <w:vAlign w:val="center"/>
          </w:tcPr>
          <w:p>
            <w:pPr>
              <w:widowControl/>
              <w:jc w:val="center"/>
              <w:rPr>
                <w:sz w:val="24"/>
              </w:rPr>
            </w:pPr>
          </w:p>
        </w:tc>
        <w:tc>
          <w:tcPr>
            <w:tcW w:w="495" w:type="pct"/>
            <w:tcBorders>
              <w:top w:val="nil"/>
              <w:left w:val="nil"/>
              <w:bottom w:val="single" w:color="auto" w:sz="4" w:space="0"/>
              <w:right w:val="single" w:color="auto" w:sz="4" w:space="0"/>
            </w:tcBorders>
            <w:vAlign w:val="center"/>
          </w:tcPr>
          <w:p>
            <w:pPr>
              <w:widowControl/>
              <w:jc w:val="center"/>
              <w:rPr>
                <w:sz w:val="24"/>
              </w:rPr>
            </w:pPr>
          </w:p>
        </w:tc>
        <w:tc>
          <w:tcPr>
            <w:tcW w:w="630" w:type="pct"/>
            <w:tcBorders>
              <w:top w:val="nil"/>
              <w:left w:val="nil"/>
              <w:bottom w:val="single" w:color="auto" w:sz="4" w:space="0"/>
              <w:right w:val="single" w:color="auto" w:sz="8" w:space="0"/>
            </w:tcBorders>
            <w:vAlign w:val="center"/>
          </w:tcPr>
          <w:p>
            <w:pPr>
              <w:widowControl/>
              <w:jc w:val="center"/>
              <w:rPr>
                <w:sz w:val="24"/>
              </w:rPr>
            </w:pPr>
          </w:p>
        </w:tc>
      </w:tr>
      <w:tr>
        <w:tblPrEx>
          <w:tblCellMar>
            <w:top w:w="0" w:type="dxa"/>
            <w:left w:w="108" w:type="dxa"/>
            <w:bottom w:w="0" w:type="dxa"/>
            <w:right w:w="108" w:type="dxa"/>
          </w:tblCellMar>
        </w:tblPrEx>
        <w:trPr>
          <w:trHeight w:val="454" w:hRule="atLeast"/>
        </w:trPr>
        <w:tc>
          <w:tcPr>
            <w:tcW w:w="413" w:type="pct"/>
            <w:tcBorders>
              <w:top w:val="nil"/>
              <w:left w:val="single" w:color="auto" w:sz="8" w:space="0"/>
              <w:bottom w:val="single" w:color="auto" w:sz="4" w:space="0"/>
              <w:right w:val="single" w:color="auto" w:sz="4" w:space="0"/>
            </w:tcBorders>
            <w:vAlign w:val="center"/>
          </w:tcPr>
          <w:p>
            <w:pPr>
              <w:widowControl/>
              <w:jc w:val="center"/>
              <w:rPr>
                <w:sz w:val="24"/>
              </w:rPr>
            </w:pPr>
          </w:p>
        </w:tc>
        <w:tc>
          <w:tcPr>
            <w:tcW w:w="830" w:type="pct"/>
            <w:tcBorders>
              <w:top w:val="nil"/>
              <w:left w:val="nil"/>
              <w:bottom w:val="single" w:color="auto" w:sz="4" w:space="0"/>
              <w:right w:val="single" w:color="auto" w:sz="4" w:space="0"/>
            </w:tcBorders>
            <w:vAlign w:val="center"/>
          </w:tcPr>
          <w:p>
            <w:pPr>
              <w:widowControl/>
              <w:jc w:val="left"/>
              <w:rPr>
                <w:sz w:val="24"/>
              </w:rPr>
            </w:pPr>
          </w:p>
        </w:tc>
        <w:tc>
          <w:tcPr>
            <w:tcW w:w="448" w:type="pct"/>
            <w:tcBorders>
              <w:top w:val="nil"/>
              <w:left w:val="nil"/>
              <w:bottom w:val="single" w:color="auto" w:sz="4" w:space="0"/>
              <w:right w:val="single" w:color="auto" w:sz="4" w:space="0"/>
            </w:tcBorders>
            <w:vAlign w:val="center"/>
          </w:tcPr>
          <w:p>
            <w:pPr>
              <w:widowControl/>
              <w:jc w:val="center"/>
              <w:rPr>
                <w:sz w:val="24"/>
              </w:rPr>
            </w:pPr>
          </w:p>
        </w:tc>
        <w:tc>
          <w:tcPr>
            <w:tcW w:w="583" w:type="pct"/>
            <w:tcBorders>
              <w:top w:val="nil"/>
              <w:left w:val="nil"/>
              <w:bottom w:val="single" w:color="auto" w:sz="4" w:space="0"/>
              <w:right w:val="single" w:color="auto" w:sz="4" w:space="0"/>
            </w:tcBorders>
            <w:vAlign w:val="center"/>
          </w:tcPr>
          <w:p>
            <w:pPr>
              <w:widowControl/>
              <w:jc w:val="center"/>
              <w:rPr>
                <w:sz w:val="24"/>
              </w:rPr>
            </w:pPr>
          </w:p>
        </w:tc>
        <w:tc>
          <w:tcPr>
            <w:tcW w:w="553" w:type="pct"/>
            <w:tcBorders>
              <w:top w:val="nil"/>
              <w:left w:val="nil"/>
              <w:bottom w:val="single" w:color="auto" w:sz="4" w:space="0"/>
              <w:right w:val="single" w:color="auto" w:sz="4" w:space="0"/>
            </w:tcBorders>
            <w:vAlign w:val="center"/>
          </w:tcPr>
          <w:p>
            <w:pPr>
              <w:widowControl/>
              <w:jc w:val="center"/>
              <w:rPr>
                <w:sz w:val="24"/>
              </w:rPr>
            </w:pPr>
          </w:p>
        </w:tc>
        <w:tc>
          <w:tcPr>
            <w:tcW w:w="637" w:type="pct"/>
            <w:tcBorders>
              <w:top w:val="nil"/>
              <w:left w:val="nil"/>
              <w:bottom w:val="single" w:color="auto" w:sz="4" w:space="0"/>
              <w:right w:val="single" w:color="auto" w:sz="4" w:space="0"/>
            </w:tcBorders>
            <w:vAlign w:val="center"/>
          </w:tcPr>
          <w:p>
            <w:pPr>
              <w:widowControl/>
              <w:jc w:val="center"/>
              <w:rPr>
                <w:sz w:val="24"/>
              </w:rPr>
            </w:pPr>
          </w:p>
        </w:tc>
        <w:tc>
          <w:tcPr>
            <w:tcW w:w="412" w:type="pct"/>
            <w:tcBorders>
              <w:top w:val="nil"/>
              <w:left w:val="nil"/>
              <w:bottom w:val="single" w:color="auto" w:sz="4" w:space="0"/>
              <w:right w:val="single" w:color="auto" w:sz="4" w:space="0"/>
            </w:tcBorders>
            <w:vAlign w:val="center"/>
          </w:tcPr>
          <w:p>
            <w:pPr>
              <w:widowControl/>
              <w:jc w:val="center"/>
              <w:rPr>
                <w:sz w:val="24"/>
              </w:rPr>
            </w:pPr>
          </w:p>
        </w:tc>
        <w:tc>
          <w:tcPr>
            <w:tcW w:w="495" w:type="pct"/>
            <w:tcBorders>
              <w:top w:val="nil"/>
              <w:left w:val="nil"/>
              <w:bottom w:val="single" w:color="auto" w:sz="4" w:space="0"/>
              <w:right w:val="single" w:color="auto" w:sz="4" w:space="0"/>
            </w:tcBorders>
            <w:vAlign w:val="center"/>
          </w:tcPr>
          <w:p>
            <w:pPr>
              <w:widowControl/>
              <w:jc w:val="center"/>
              <w:rPr>
                <w:sz w:val="24"/>
              </w:rPr>
            </w:pPr>
          </w:p>
        </w:tc>
        <w:tc>
          <w:tcPr>
            <w:tcW w:w="630" w:type="pct"/>
            <w:tcBorders>
              <w:top w:val="nil"/>
              <w:left w:val="nil"/>
              <w:bottom w:val="single" w:color="auto" w:sz="4" w:space="0"/>
              <w:right w:val="single" w:color="auto" w:sz="8" w:space="0"/>
            </w:tcBorders>
            <w:vAlign w:val="center"/>
          </w:tcPr>
          <w:p>
            <w:pPr>
              <w:widowControl/>
              <w:jc w:val="center"/>
              <w:rPr>
                <w:sz w:val="24"/>
              </w:rPr>
            </w:pPr>
          </w:p>
        </w:tc>
      </w:tr>
      <w:tr>
        <w:tblPrEx>
          <w:tblCellMar>
            <w:top w:w="0" w:type="dxa"/>
            <w:left w:w="108" w:type="dxa"/>
            <w:bottom w:w="0" w:type="dxa"/>
            <w:right w:w="108" w:type="dxa"/>
          </w:tblCellMar>
        </w:tblPrEx>
        <w:trPr>
          <w:trHeight w:val="454" w:hRule="atLeast"/>
        </w:trPr>
        <w:tc>
          <w:tcPr>
            <w:tcW w:w="413" w:type="pct"/>
            <w:tcBorders>
              <w:top w:val="nil"/>
              <w:left w:val="single" w:color="auto" w:sz="8" w:space="0"/>
              <w:bottom w:val="single" w:color="auto" w:sz="4" w:space="0"/>
              <w:right w:val="single" w:color="auto" w:sz="4" w:space="0"/>
            </w:tcBorders>
            <w:vAlign w:val="center"/>
          </w:tcPr>
          <w:p>
            <w:pPr>
              <w:widowControl/>
              <w:jc w:val="center"/>
              <w:rPr>
                <w:sz w:val="24"/>
              </w:rPr>
            </w:pPr>
          </w:p>
        </w:tc>
        <w:tc>
          <w:tcPr>
            <w:tcW w:w="830" w:type="pct"/>
            <w:tcBorders>
              <w:top w:val="nil"/>
              <w:left w:val="nil"/>
              <w:bottom w:val="single" w:color="auto" w:sz="4" w:space="0"/>
              <w:right w:val="single" w:color="auto" w:sz="4" w:space="0"/>
            </w:tcBorders>
            <w:vAlign w:val="center"/>
          </w:tcPr>
          <w:p>
            <w:pPr>
              <w:widowControl/>
              <w:jc w:val="left"/>
              <w:rPr>
                <w:sz w:val="24"/>
              </w:rPr>
            </w:pPr>
            <w:r>
              <w:rPr>
                <w:sz w:val="24"/>
              </w:rPr>
              <w:t>……</w:t>
            </w:r>
          </w:p>
        </w:tc>
        <w:tc>
          <w:tcPr>
            <w:tcW w:w="448" w:type="pct"/>
            <w:tcBorders>
              <w:top w:val="nil"/>
              <w:left w:val="nil"/>
              <w:bottom w:val="single" w:color="auto" w:sz="4" w:space="0"/>
              <w:right w:val="single" w:color="auto" w:sz="4" w:space="0"/>
            </w:tcBorders>
            <w:vAlign w:val="center"/>
          </w:tcPr>
          <w:p>
            <w:pPr>
              <w:widowControl/>
              <w:jc w:val="center"/>
              <w:rPr>
                <w:sz w:val="24"/>
              </w:rPr>
            </w:pPr>
          </w:p>
        </w:tc>
        <w:tc>
          <w:tcPr>
            <w:tcW w:w="583" w:type="pct"/>
            <w:tcBorders>
              <w:top w:val="nil"/>
              <w:left w:val="nil"/>
              <w:bottom w:val="single" w:color="auto" w:sz="4" w:space="0"/>
              <w:right w:val="single" w:color="auto" w:sz="4" w:space="0"/>
            </w:tcBorders>
            <w:vAlign w:val="center"/>
          </w:tcPr>
          <w:p>
            <w:pPr>
              <w:widowControl/>
              <w:jc w:val="center"/>
              <w:rPr>
                <w:sz w:val="24"/>
              </w:rPr>
            </w:pPr>
          </w:p>
        </w:tc>
        <w:tc>
          <w:tcPr>
            <w:tcW w:w="553" w:type="pct"/>
            <w:tcBorders>
              <w:top w:val="nil"/>
              <w:left w:val="nil"/>
              <w:bottom w:val="single" w:color="auto" w:sz="4" w:space="0"/>
              <w:right w:val="single" w:color="auto" w:sz="4" w:space="0"/>
            </w:tcBorders>
            <w:vAlign w:val="center"/>
          </w:tcPr>
          <w:p>
            <w:pPr>
              <w:widowControl/>
              <w:jc w:val="center"/>
              <w:rPr>
                <w:sz w:val="24"/>
              </w:rPr>
            </w:pPr>
          </w:p>
        </w:tc>
        <w:tc>
          <w:tcPr>
            <w:tcW w:w="637" w:type="pct"/>
            <w:tcBorders>
              <w:top w:val="nil"/>
              <w:left w:val="nil"/>
              <w:bottom w:val="single" w:color="auto" w:sz="4" w:space="0"/>
              <w:right w:val="single" w:color="auto" w:sz="4" w:space="0"/>
            </w:tcBorders>
            <w:vAlign w:val="center"/>
          </w:tcPr>
          <w:p>
            <w:pPr>
              <w:widowControl/>
              <w:jc w:val="center"/>
              <w:rPr>
                <w:sz w:val="24"/>
              </w:rPr>
            </w:pPr>
          </w:p>
        </w:tc>
        <w:tc>
          <w:tcPr>
            <w:tcW w:w="412" w:type="pct"/>
            <w:tcBorders>
              <w:top w:val="nil"/>
              <w:left w:val="nil"/>
              <w:bottom w:val="single" w:color="auto" w:sz="4" w:space="0"/>
              <w:right w:val="single" w:color="auto" w:sz="4" w:space="0"/>
            </w:tcBorders>
            <w:vAlign w:val="center"/>
          </w:tcPr>
          <w:p>
            <w:pPr>
              <w:widowControl/>
              <w:jc w:val="center"/>
              <w:rPr>
                <w:sz w:val="24"/>
              </w:rPr>
            </w:pPr>
          </w:p>
        </w:tc>
        <w:tc>
          <w:tcPr>
            <w:tcW w:w="495" w:type="pct"/>
            <w:tcBorders>
              <w:top w:val="nil"/>
              <w:left w:val="nil"/>
              <w:bottom w:val="single" w:color="auto" w:sz="4" w:space="0"/>
              <w:right w:val="single" w:color="auto" w:sz="4" w:space="0"/>
            </w:tcBorders>
            <w:vAlign w:val="center"/>
          </w:tcPr>
          <w:p>
            <w:pPr>
              <w:widowControl/>
              <w:jc w:val="center"/>
              <w:rPr>
                <w:sz w:val="24"/>
              </w:rPr>
            </w:pPr>
          </w:p>
        </w:tc>
        <w:tc>
          <w:tcPr>
            <w:tcW w:w="630" w:type="pct"/>
            <w:tcBorders>
              <w:top w:val="nil"/>
              <w:left w:val="nil"/>
              <w:bottom w:val="single" w:color="auto" w:sz="4" w:space="0"/>
              <w:right w:val="single" w:color="auto" w:sz="8" w:space="0"/>
            </w:tcBorders>
            <w:vAlign w:val="center"/>
          </w:tcPr>
          <w:p>
            <w:pPr>
              <w:widowControl/>
              <w:jc w:val="center"/>
              <w:rPr>
                <w:sz w:val="24"/>
              </w:rPr>
            </w:pPr>
          </w:p>
        </w:tc>
      </w:tr>
      <w:tr>
        <w:tblPrEx>
          <w:tblCellMar>
            <w:top w:w="0" w:type="dxa"/>
            <w:left w:w="108" w:type="dxa"/>
            <w:bottom w:w="0" w:type="dxa"/>
            <w:right w:w="108" w:type="dxa"/>
          </w:tblCellMar>
        </w:tblPrEx>
        <w:trPr>
          <w:trHeight w:val="454" w:hRule="atLeast"/>
        </w:trPr>
        <w:tc>
          <w:tcPr>
            <w:tcW w:w="413" w:type="pct"/>
            <w:tcBorders>
              <w:top w:val="nil"/>
              <w:left w:val="single" w:color="auto" w:sz="8" w:space="0"/>
              <w:bottom w:val="single" w:color="auto" w:sz="4" w:space="0"/>
              <w:right w:val="single" w:color="auto" w:sz="4" w:space="0"/>
            </w:tcBorders>
            <w:vAlign w:val="center"/>
          </w:tcPr>
          <w:p>
            <w:pPr>
              <w:widowControl/>
              <w:jc w:val="center"/>
              <w:rPr>
                <w:sz w:val="24"/>
              </w:rPr>
            </w:pPr>
            <w:r>
              <w:rPr>
                <w:rFonts w:hint="eastAsia"/>
                <w:sz w:val="24"/>
              </w:rPr>
              <w:t>三</w:t>
            </w:r>
          </w:p>
        </w:tc>
        <w:tc>
          <w:tcPr>
            <w:tcW w:w="830" w:type="pct"/>
            <w:tcBorders>
              <w:top w:val="nil"/>
              <w:left w:val="nil"/>
              <w:bottom w:val="single" w:color="auto" w:sz="4" w:space="0"/>
              <w:right w:val="single" w:color="auto" w:sz="4" w:space="0"/>
            </w:tcBorders>
            <w:vAlign w:val="center"/>
          </w:tcPr>
          <w:p>
            <w:pPr>
              <w:widowControl/>
              <w:jc w:val="left"/>
              <w:rPr>
                <w:sz w:val="24"/>
              </w:rPr>
            </w:pPr>
            <w:r>
              <w:rPr>
                <w:rFonts w:hint="eastAsia"/>
                <w:sz w:val="24"/>
              </w:rPr>
              <w:t>备件工具费</w:t>
            </w:r>
          </w:p>
        </w:tc>
        <w:tc>
          <w:tcPr>
            <w:tcW w:w="448" w:type="pct"/>
            <w:tcBorders>
              <w:top w:val="nil"/>
              <w:left w:val="nil"/>
              <w:bottom w:val="single" w:color="auto" w:sz="4" w:space="0"/>
              <w:right w:val="single" w:color="auto" w:sz="4" w:space="0"/>
            </w:tcBorders>
            <w:vAlign w:val="center"/>
          </w:tcPr>
          <w:p>
            <w:pPr>
              <w:widowControl/>
              <w:jc w:val="center"/>
              <w:rPr>
                <w:sz w:val="24"/>
              </w:rPr>
            </w:pPr>
          </w:p>
        </w:tc>
        <w:tc>
          <w:tcPr>
            <w:tcW w:w="583" w:type="pct"/>
            <w:tcBorders>
              <w:top w:val="nil"/>
              <w:left w:val="nil"/>
              <w:bottom w:val="single" w:color="auto" w:sz="4" w:space="0"/>
              <w:right w:val="single" w:color="auto" w:sz="4" w:space="0"/>
            </w:tcBorders>
            <w:vAlign w:val="center"/>
          </w:tcPr>
          <w:p>
            <w:pPr>
              <w:widowControl/>
              <w:jc w:val="center"/>
              <w:rPr>
                <w:sz w:val="24"/>
              </w:rPr>
            </w:pPr>
          </w:p>
        </w:tc>
        <w:tc>
          <w:tcPr>
            <w:tcW w:w="553" w:type="pct"/>
            <w:tcBorders>
              <w:top w:val="nil"/>
              <w:left w:val="nil"/>
              <w:bottom w:val="single" w:color="auto" w:sz="4" w:space="0"/>
              <w:right w:val="single" w:color="auto" w:sz="4" w:space="0"/>
            </w:tcBorders>
            <w:vAlign w:val="center"/>
          </w:tcPr>
          <w:p>
            <w:pPr>
              <w:widowControl/>
              <w:jc w:val="center"/>
              <w:rPr>
                <w:sz w:val="24"/>
              </w:rPr>
            </w:pPr>
          </w:p>
        </w:tc>
        <w:tc>
          <w:tcPr>
            <w:tcW w:w="637" w:type="pct"/>
            <w:tcBorders>
              <w:top w:val="nil"/>
              <w:left w:val="nil"/>
              <w:bottom w:val="single" w:color="auto" w:sz="4" w:space="0"/>
              <w:right w:val="single" w:color="auto" w:sz="4" w:space="0"/>
            </w:tcBorders>
            <w:vAlign w:val="center"/>
          </w:tcPr>
          <w:p>
            <w:pPr>
              <w:widowControl/>
              <w:jc w:val="center"/>
              <w:rPr>
                <w:sz w:val="24"/>
              </w:rPr>
            </w:pPr>
          </w:p>
        </w:tc>
        <w:tc>
          <w:tcPr>
            <w:tcW w:w="412" w:type="pct"/>
            <w:tcBorders>
              <w:top w:val="nil"/>
              <w:left w:val="nil"/>
              <w:bottom w:val="single" w:color="auto" w:sz="4" w:space="0"/>
              <w:right w:val="single" w:color="auto" w:sz="4" w:space="0"/>
            </w:tcBorders>
            <w:vAlign w:val="center"/>
          </w:tcPr>
          <w:p>
            <w:pPr>
              <w:widowControl/>
              <w:jc w:val="center"/>
              <w:rPr>
                <w:sz w:val="24"/>
              </w:rPr>
            </w:pPr>
          </w:p>
        </w:tc>
        <w:tc>
          <w:tcPr>
            <w:tcW w:w="495" w:type="pct"/>
            <w:tcBorders>
              <w:top w:val="nil"/>
              <w:left w:val="nil"/>
              <w:bottom w:val="single" w:color="auto" w:sz="4" w:space="0"/>
              <w:right w:val="single" w:color="auto" w:sz="4" w:space="0"/>
            </w:tcBorders>
            <w:vAlign w:val="center"/>
          </w:tcPr>
          <w:p>
            <w:pPr>
              <w:widowControl/>
              <w:jc w:val="center"/>
              <w:rPr>
                <w:sz w:val="24"/>
              </w:rPr>
            </w:pPr>
          </w:p>
        </w:tc>
        <w:tc>
          <w:tcPr>
            <w:tcW w:w="630" w:type="pct"/>
            <w:tcBorders>
              <w:top w:val="nil"/>
              <w:left w:val="nil"/>
              <w:bottom w:val="single" w:color="auto" w:sz="4" w:space="0"/>
              <w:right w:val="single" w:color="auto" w:sz="8" w:space="0"/>
            </w:tcBorders>
            <w:vAlign w:val="center"/>
          </w:tcPr>
          <w:p>
            <w:pPr>
              <w:widowControl/>
              <w:jc w:val="center"/>
              <w:rPr>
                <w:sz w:val="24"/>
              </w:rPr>
            </w:pPr>
          </w:p>
        </w:tc>
      </w:tr>
      <w:tr>
        <w:tblPrEx>
          <w:tblCellMar>
            <w:top w:w="0" w:type="dxa"/>
            <w:left w:w="108" w:type="dxa"/>
            <w:bottom w:w="0" w:type="dxa"/>
            <w:right w:w="108" w:type="dxa"/>
          </w:tblCellMar>
        </w:tblPrEx>
        <w:trPr>
          <w:trHeight w:val="454" w:hRule="atLeast"/>
        </w:trPr>
        <w:tc>
          <w:tcPr>
            <w:tcW w:w="413" w:type="pct"/>
            <w:tcBorders>
              <w:top w:val="nil"/>
              <w:left w:val="single" w:color="auto" w:sz="8" w:space="0"/>
              <w:bottom w:val="single" w:color="auto" w:sz="4" w:space="0"/>
              <w:right w:val="single" w:color="auto" w:sz="4" w:space="0"/>
            </w:tcBorders>
            <w:vAlign w:val="center"/>
          </w:tcPr>
          <w:p>
            <w:pPr>
              <w:widowControl/>
              <w:jc w:val="center"/>
              <w:rPr>
                <w:sz w:val="24"/>
              </w:rPr>
            </w:pPr>
          </w:p>
        </w:tc>
        <w:tc>
          <w:tcPr>
            <w:tcW w:w="830" w:type="pct"/>
            <w:tcBorders>
              <w:top w:val="nil"/>
              <w:left w:val="nil"/>
              <w:bottom w:val="single" w:color="auto" w:sz="4" w:space="0"/>
              <w:right w:val="single" w:color="auto" w:sz="4" w:space="0"/>
            </w:tcBorders>
            <w:vAlign w:val="center"/>
          </w:tcPr>
          <w:p>
            <w:pPr>
              <w:widowControl/>
              <w:jc w:val="left"/>
              <w:rPr>
                <w:sz w:val="24"/>
              </w:rPr>
            </w:pPr>
            <w:r>
              <w:rPr>
                <w:sz w:val="24"/>
              </w:rPr>
              <w:t>……</w:t>
            </w:r>
          </w:p>
        </w:tc>
        <w:tc>
          <w:tcPr>
            <w:tcW w:w="448" w:type="pct"/>
            <w:tcBorders>
              <w:top w:val="nil"/>
              <w:left w:val="nil"/>
              <w:bottom w:val="single" w:color="auto" w:sz="4" w:space="0"/>
              <w:right w:val="single" w:color="auto" w:sz="4" w:space="0"/>
            </w:tcBorders>
            <w:vAlign w:val="center"/>
          </w:tcPr>
          <w:p>
            <w:pPr>
              <w:widowControl/>
              <w:jc w:val="center"/>
              <w:rPr>
                <w:sz w:val="24"/>
              </w:rPr>
            </w:pPr>
          </w:p>
        </w:tc>
        <w:tc>
          <w:tcPr>
            <w:tcW w:w="583" w:type="pct"/>
            <w:tcBorders>
              <w:top w:val="nil"/>
              <w:left w:val="nil"/>
              <w:bottom w:val="single" w:color="auto" w:sz="4" w:space="0"/>
              <w:right w:val="single" w:color="auto" w:sz="4" w:space="0"/>
            </w:tcBorders>
            <w:vAlign w:val="center"/>
          </w:tcPr>
          <w:p>
            <w:pPr>
              <w:widowControl/>
              <w:jc w:val="center"/>
              <w:rPr>
                <w:sz w:val="24"/>
              </w:rPr>
            </w:pPr>
          </w:p>
        </w:tc>
        <w:tc>
          <w:tcPr>
            <w:tcW w:w="553" w:type="pct"/>
            <w:tcBorders>
              <w:top w:val="nil"/>
              <w:left w:val="nil"/>
              <w:bottom w:val="single" w:color="auto" w:sz="4" w:space="0"/>
              <w:right w:val="single" w:color="auto" w:sz="4" w:space="0"/>
            </w:tcBorders>
            <w:vAlign w:val="center"/>
          </w:tcPr>
          <w:p>
            <w:pPr>
              <w:widowControl/>
              <w:jc w:val="center"/>
              <w:rPr>
                <w:sz w:val="24"/>
              </w:rPr>
            </w:pPr>
          </w:p>
        </w:tc>
        <w:tc>
          <w:tcPr>
            <w:tcW w:w="637" w:type="pct"/>
            <w:tcBorders>
              <w:top w:val="nil"/>
              <w:left w:val="nil"/>
              <w:bottom w:val="single" w:color="auto" w:sz="4" w:space="0"/>
              <w:right w:val="single" w:color="auto" w:sz="4" w:space="0"/>
            </w:tcBorders>
            <w:vAlign w:val="center"/>
          </w:tcPr>
          <w:p>
            <w:pPr>
              <w:widowControl/>
              <w:jc w:val="center"/>
              <w:rPr>
                <w:sz w:val="24"/>
              </w:rPr>
            </w:pPr>
          </w:p>
        </w:tc>
        <w:tc>
          <w:tcPr>
            <w:tcW w:w="412" w:type="pct"/>
            <w:tcBorders>
              <w:top w:val="nil"/>
              <w:left w:val="nil"/>
              <w:bottom w:val="single" w:color="auto" w:sz="4" w:space="0"/>
              <w:right w:val="single" w:color="auto" w:sz="4" w:space="0"/>
            </w:tcBorders>
            <w:vAlign w:val="center"/>
          </w:tcPr>
          <w:p>
            <w:pPr>
              <w:widowControl/>
              <w:jc w:val="center"/>
              <w:rPr>
                <w:sz w:val="24"/>
              </w:rPr>
            </w:pPr>
          </w:p>
        </w:tc>
        <w:tc>
          <w:tcPr>
            <w:tcW w:w="495" w:type="pct"/>
            <w:tcBorders>
              <w:top w:val="nil"/>
              <w:left w:val="nil"/>
              <w:bottom w:val="single" w:color="auto" w:sz="4" w:space="0"/>
              <w:right w:val="single" w:color="auto" w:sz="4" w:space="0"/>
            </w:tcBorders>
            <w:vAlign w:val="center"/>
          </w:tcPr>
          <w:p>
            <w:pPr>
              <w:widowControl/>
              <w:jc w:val="center"/>
              <w:rPr>
                <w:sz w:val="24"/>
              </w:rPr>
            </w:pPr>
          </w:p>
        </w:tc>
        <w:tc>
          <w:tcPr>
            <w:tcW w:w="630" w:type="pct"/>
            <w:tcBorders>
              <w:top w:val="nil"/>
              <w:left w:val="nil"/>
              <w:bottom w:val="single" w:color="auto" w:sz="4" w:space="0"/>
              <w:right w:val="single" w:color="auto" w:sz="8" w:space="0"/>
            </w:tcBorders>
            <w:vAlign w:val="center"/>
          </w:tcPr>
          <w:p>
            <w:pPr>
              <w:widowControl/>
              <w:jc w:val="center"/>
              <w:rPr>
                <w:sz w:val="24"/>
              </w:rPr>
            </w:pPr>
          </w:p>
        </w:tc>
      </w:tr>
      <w:tr>
        <w:tblPrEx>
          <w:tblCellMar>
            <w:top w:w="0" w:type="dxa"/>
            <w:left w:w="108" w:type="dxa"/>
            <w:bottom w:w="0" w:type="dxa"/>
            <w:right w:w="108" w:type="dxa"/>
          </w:tblCellMar>
        </w:tblPrEx>
        <w:trPr>
          <w:trHeight w:val="454" w:hRule="atLeast"/>
        </w:trPr>
        <w:tc>
          <w:tcPr>
            <w:tcW w:w="1"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sz w:val="24"/>
              </w:rPr>
            </w:pPr>
            <w:r>
              <w:rPr>
                <w:rFonts w:hint="eastAsia"/>
                <w:sz w:val="24"/>
              </w:rPr>
              <w:t>合计</w:t>
            </w:r>
          </w:p>
        </w:tc>
        <w:tc>
          <w:tcPr>
            <w:tcW w:w="448" w:type="pct"/>
            <w:tcBorders>
              <w:top w:val="single" w:color="auto" w:sz="4" w:space="0"/>
              <w:left w:val="nil"/>
              <w:bottom w:val="single" w:color="auto" w:sz="4" w:space="0"/>
              <w:right w:val="single" w:color="auto" w:sz="4" w:space="0"/>
            </w:tcBorders>
            <w:vAlign w:val="center"/>
          </w:tcPr>
          <w:p>
            <w:pPr>
              <w:widowControl/>
              <w:jc w:val="center"/>
              <w:rPr>
                <w:sz w:val="24"/>
              </w:rPr>
            </w:pPr>
          </w:p>
        </w:tc>
        <w:tc>
          <w:tcPr>
            <w:tcW w:w="583" w:type="pct"/>
            <w:tcBorders>
              <w:top w:val="single" w:color="auto" w:sz="4" w:space="0"/>
              <w:left w:val="nil"/>
              <w:bottom w:val="single" w:color="auto" w:sz="4" w:space="0"/>
              <w:right w:val="single" w:color="auto" w:sz="4" w:space="0"/>
            </w:tcBorders>
            <w:vAlign w:val="center"/>
          </w:tcPr>
          <w:p>
            <w:pPr>
              <w:widowControl/>
              <w:jc w:val="center"/>
              <w:rPr>
                <w:sz w:val="24"/>
              </w:rPr>
            </w:pPr>
          </w:p>
        </w:tc>
        <w:tc>
          <w:tcPr>
            <w:tcW w:w="553" w:type="pct"/>
            <w:tcBorders>
              <w:top w:val="single" w:color="auto" w:sz="4" w:space="0"/>
              <w:left w:val="nil"/>
              <w:bottom w:val="single" w:color="auto" w:sz="4" w:space="0"/>
              <w:right w:val="single" w:color="auto" w:sz="4" w:space="0"/>
            </w:tcBorders>
            <w:vAlign w:val="center"/>
          </w:tcPr>
          <w:p>
            <w:pPr>
              <w:widowControl/>
              <w:jc w:val="center"/>
              <w:rPr>
                <w:sz w:val="24"/>
              </w:rPr>
            </w:pPr>
          </w:p>
        </w:tc>
        <w:tc>
          <w:tcPr>
            <w:tcW w:w="637" w:type="pct"/>
            <w:tcBorders>
              <w:top w:val="single" w:color="auto" w:sz="4" w:space="0"/>
              <w:left w:val="nil"/>
              <w:bottom w:val="single" w:color="auto" w:sz="4" w:space="0"/>
              <w:right w:val="single" w:color="auto" w:sz="4" w:space="0"/>
            </w:tcBorders>
            <w:vAlign w:val="center"/>
          </w:tcPr>
          <w:p>
            <w:pPr>
              <w:widowControl/>
              <w:jc w:val="center"/>
              <w:rPr>
                <w:sz w:val="24"/>
              </w:rPr>
            </w:pPr>
          </w:p>
        </w:tc>
        <w:tc>
          <w:tcPr>
            <w:tcW w:w="412" w:type="pct"/>
            <w:tcBorders>
              <w:top w:val="single" w:color="auto" w:sz="4" w:space="0"/>
              <w:left w:val="nil"/>
              <w:bottom w:val="single" w:color="auto" w:sz="4" w:space="0"/>
              <w:right w:val="single" w:color="auto" w:sz="4" w:space="0"/>
            </w:tcBorders>
            <w:vAlign w:val="center"/>
          </w:tcPr>
          <w:p>
            <w:pPr>
              <w:widowControl/>
              <w:jc w:val="center"/>
              <w:rPr>
                <w:sz w:val="24"/>
              </w:rPr>
            </w:pPr>
          </w:p>
        </w:tc>
        <w:tc>
          <w:tcPr>
            <w:tcW w:w="495" w:type="pct"/>
            <w:tcBorders>
              <w:top w:val="single" w:color="auto" w:sz="4" w:space="0"/>
              <w:left w:val="nil"/>
              <w:bottom w:val="single" w:color="auto" w:sz="4" w:space="0"/>
              <w:right w:val="single" w:color="auto" w:sz="4" w:space="0"/>
            </w:tcBorders>
            <w:vAlign w:val="center"/>
          </w:tcPr>
          <w:p>
            <w:pPr>
              <w:widowControl/>
              <w:jc w:val="center"/>
              <w:rPr>
                <w:sz w:val="24"/>
              </w:rPr>
            </w:pPr>
          </w:p>
        </w:tc>
        <w:tc>
          <w:tcPr>
            <w:tcW w:w="630" w:type="pct"/>
            <w:tcBorders>
              <w:top w:val="single" w:color="auto" w:sz="4" w:space="0"/>
              <w:left w:val="nil"/>
              <w:bottom w:val="single" w:color="auto" w:sz="4" w:space="0"/>
              <w:right w:val="single" w:color="auto" w:sz="4" w:space="0"/>
            </w:tcBorders>
            <w:vAlign w:val="center"/>
          </w:tcPr>
          <w:p>
            <w:pPr>
              <w:widowControl/>
              <w:jc w:val="center"/>
              <w:rPr>
                <w:sz w:val="24"/>
              </w:rPr>
            </w:pPr>
          </w:p>
        </w:tc>
      </w:tr>
      <w:tr>
        <w:tblPrEx>
          <w:tblCellMar>
            <w:top w:w="0" w:type="dxa"/>
            <w:left w:w="108" w:type="dxa"/>
            <w:bottom w:w="0" w:type="dxa"/>
            <w:right w:w="108" w:type="dxa"/>
          </w:tblCellMar>
        </w:tblPrEx>
        <w:trPr>
          <w:trHeight w:val="454" w:hRule="atLeast"/>
        </w:trPr>
        <w:tc>
          <w:tcPr>
            <w:tcW w:w="1" w:type="pct"/>
            <w:gridSpan w:val="9"/>
            <w:tcBorders>
              <w:top w:val="single" w:color="auto" w:sz="4" w:space="0"/>
              <w:left w:val="single" w:color="auto" w:sz="4" w:space="0"/>
              <w:bottom w:val="single" w:color="auto" w:sz="4" w:space="0"/>
              <w:right w:val="single" w:color="auto" w:sz="4" w:space="0"/>
            </w:tcBorders>
            <w:vAlign w:val="center"/>
          </w:tcPr>
          <w:p>
            <w:pPr>
              <w:widowControl/>
              <w:jc w:val="left"/>
              <w:rPr>
                <w:sz w:val="24"/>
              </w:rPr>
            </w:pPr>
            <w:r>
              <w:rPr>
                <w:rFonts w:hint="eastAsia"/>
                <w:sz w:val="24"/>
              </w:rPr>
              <w:t>说明：以一套物资的所用材料为基本单位，项目填列直接材料明细。</w:t>
            </w:r>
          </w:p>
        </w:tc>
      </w:tr>
    </w:tbl>
    <w:p>
      <w:pPr>
        <w:rPr>
          <w:sz w:val="28"/>
          <w:szCs w:val="28"/>
          <w:lang w:val="zh-CN"/>
        </w:rPr>
      </w:pPr>
    </w:p>
    <w:p>
      <w:pPr>
        <w:pStyle w:val="16"/>
        <w:rPr>
          <w:sz w:val="28"/>
          <w:szCs w:val="28"/>
          <w:lang w:val="zh-CN"/>
        </w:rPr>
      </w:pPr>
    </w:p>
    <w:p>
      <w:pPr>
        <w:rPr>
          <w:sz w:val="28"/>
          <w:szCs w:val="28"/>
          <w:lang w:val="zh-CN"/>
        </w:rPr>
      </w:pPr>
    </w:p>
    <w:p>
      <w:pPr>
        <w:ind w:firstLine="560" w:firstLineChars="200"/>
        <w:jc w:val="left"/>
        <w:rPr>
          <w:sz w:val="28"/>
          <w:szCs w:val="28"/>
        </w:rPr>
      </w:pPr>
      <w:r>
        <w:rPr>
          <w:sz w:val="28"/>
          <w:szCs w:val="28"/>
        </w:rPr>
        <w:br w:type="page"/>
      </w:r>
    </w:p>
    <w:p>
      <w:pPr>
        <w:pStyle w:val="6"/>
        <w:spacing w:before="120" w:beforeLines="50" w:after="120" w:afterLines="50" w:line="560" w:lineRule="exact"/>
        <w:rPr>
          <w:b w:val="0"/>
          <w:bCs w:val="0"/>
        </w:rPr>
      </w:pPr>
      <w:bookmarkStart w:id="452" w:name="_Toc11700"/>
      <w:bookmarkStart w:id="453" w:name="_Toc16147"/>
      <w:bookmarkStart w:id="454" w:name="_Toc32592"/>
      <w:bookmarkStart w:id="455" w:name="_Toc14107"/>
      <w:bookmarkStart w:id="456" w:name="_Toc24431"/>
      <w:r>
        <w:rPr>
          <w:rFonts w:hint="eastAsia"/>
          <w:b w:val="0"/>
          <w:bCs w:val="0"/>
        </w:rPr>
        <w:t>附件</w:t>
      </w:r>
      <w:r>
        <w:rPr>
          <w:b w:val="0"/>
          <w:bCs w:val="0"/>
        </w:rPr>
        <w:t>1-4</w:t>
      </w:r>
      <w:r>
        <w:rPr>
          <w:rFonts w:hint="eastAsia"/>
          <w:b w:val="0"/>
          <w:bCs w:val="0"/>
        </w:rPr>
        <w:t xml:space="preserve"> 其他与价格有关的</w:t>
      </w:r>
      <w:r>
        <w:rPr>
          <w:rFonts w:hint="eastAsia" w:ascii="宋体" w:hAnsi="宋体"/>
          <w:b w:val="0"/>
        </w:rPr>
        <w:t>材料</w:t>
      </w:r>
      <w:r>
        <w:rPr>
          <w:rFonts w:hint="eastAsia"/>
          <w:b w:val="0"/>
          <w:bCs w:val="0"/>
        </w:rPr>
        <w:t>、文件</w:t>
      </w:r>
      <w:bookmarkEnd w:id="452"/>
      <w:bookmarkEnd w:id="453"/>
      <w:bookmarkEnd w:id="454"/>
      <w:bookmarkEnd w:id="455"/>
      <w:bookmarkEnd w:id="456"/>
      <w:r>
        <w:rPr>
          <w:rFonts w:hint="eastAsia"/>
          <w:b w:val="0"/>
          <w:lang w:eastAsia="zh-CN"/>
        </w:rPr>
        <w:t>（如有）</w:t>
      </w:r>
    </w:p>
    <w:p>
      <w:pPr>
        <w:spacing w:before="120" w:beforeLines="50" w:after="120" w:afterLines="50" w:line="560" w:lineRule="exact"/>
        <w:jc w:val="center"/>
        <w:rPr>
          <w:sz w:val="36"/>
          <w:szCs w:val="36"/>
          <w:lang w:val="zh-CN"/>
        </w:rPr>
      </w:pPr>
      <w:r>
        <w:rPr>
          <w:rFonts w:hint="eastAsia" w:ascii="黑体" w:hAnsi="黑体" w:eastAsia="黑体" w:cs="黑体"/>
          <w:sz w:val="36"/>
          <w:szCs w:val="36"/>
        </w:rPr>
        <w:t>其他与价格有关的材料、文件</w:t>
      </w:r>
    </w:p>
    <w:p>
      <w:pPr>
        <w:spacing w:line="360" w:lineRule="auto"/>
        <w:jc w:val="center"/>
        <w:rPr>
          <w:sz w:val="28"/>
          <w:szCs w:val="28"/>
          <w:lang w:val="zh-CN"/>
        </w:rPr>
      </w:pPr>
      <w:r>
        <w:rPr>
          <w:rFonts w:hint="eastAsia"/>
          <w:sz w:val="28"/>
          <w:szCs w:val="28"/>
          <w:lang w:val="zh-CN"/>
        </w:rPr>
        <w:t>（由报价供应商根据项目需求自行拟定）</w:t>
      </w:r>
    </w:p>
    <w:p>
      <w:pPr>
        <w:rPr>
          <w:sz w:val="28"/>
          <w:szCs w:val="28"/>
          <w:lang w:val="zh-CN"/>
        </w:rPr>
      </w:pPr>
    </w:p>
    <w:p>
      <w:pPr>
        <w:pStyle w:val="16"/>
        <w:rPr>
          <w:sz w:val="28"/>
          <w:szCs w:val="28"/>
          <w:lang w:val="zh-CN"/>
        </w:rPr>
        <w:sectPr>
          <w:headerReference r:id="rId17" w:type="default"/>
          <w:pgSz w:w="11906" w:h="16838"/>
          <w:pgMar w:top="1418" w:right="1134" w:bottom="1418" w:left="1418" w:header="851" w:footer="851" w:gutter="0"/>
          <w:pgNumType w:fmt="numberInDash"/>
          <w:cols w:space="720" w:num="1"/>
          <w:docGrid w:linePitch="388" w:charSpace="-1260"/>
        </w:sectPr>
      </w:pPr>
    </w:p>
    <w:p>
      <w:pPr>
        <w:pStyle w:val="6"/>
        <w:spacing w:before="120" w:beforeLines="50" w:after="120" w:afterLines="50" w:line="560" w:lineRule="exact"/>
        <w:rPr>
          <w:rFonts w:hint="eastAsia" w:cs="Times New Roman"/>
          <w:b w:val="0"/>
          <w:bCs w:val="0"/>
        </w:rPr>
      </w:pPr>
      <w:r>
        <w:rPr>
          <w:rFonts w:hint="eastAsia" w:cs="Times New Roman"/>
          <w:b w:val="0"/>
          <w:bCs w:val="0"/>
        </w:rPr>
        <w:t>附件1-</w:t>
      </w:r>
      <w:r>
        <w:rPr>
          <w:rFonts w:hint="eastAsia" w:cs="Times New Roman"/>
          <w:b w:val="0"/>
          <w:bCs w:val="0"/>
          <w:lang w:val="en-US" w:eastAsia="zh-CN"/>
        </w:rPr>
        <w:t>5</w:t>
      </w:r>
      <w:r>
        <w:rPr>
          <w:rFonts w:hint="eastAsia" w:cs="Times New Roman"/>
          <w:b w:val="0"/>
          <w:bCs w:val="0"/>
        </w:rPr>
        <w:t>报价承诺书</w:t>
      </w:r>
    </w:p>
    <w:p>
      <w:pPr>
        <w:spacing w:before="120" w:beforeLines="50" w:after="120" w:afterLines="50" w:line="560" w:lineRule="exact"/>
        <w:jc w:val="center"/>
        <w:rPr>
          <w:rFonts w:hint="eastAsia" w:ascii="黑体" w:hAnsi="黑体" w:eastAsia="黑体" w:cs="黑体"/>
          <w:sz w:val="36"/>
          <w:szCs w:val="36"/>
        </w:rPr>
      </w:pPr>
      <w:r>
        <w:rPr>
          <w:rFonts w:hint="eastAsia" w:ascii="黑体" w:hAnsi="黑体" w:eastAsia="黑体" w:cs="黑体"/>
          <w:sz w:val="36"/>
          <w:szCs w:val="36"/>
        </w:rPr>
        <w:t>报价承诺书</w:t>
      </w:r>
    </w:p>
    <w:p>
      <w:pPr>
        <w:spacing w:line="360" w:lineRule="auto"/>
        <w:ind w:firstLine="560" w:firstLineChars="200"/>
        <w:jc w:val="left"/>
        <w:rPr>
          <w:rFonts w:hint="eastAsia" w:ascii="Times New Roman" w:hAnsi="Times New Roman" w:eastAsia="宋体" w:cs="Times New Roman"/>
          <w:b w:val="0"/>
          <w:bCs/>
          <w:sz w:val="28"/>
          <w:szCs w:val="28"/>
          <w:lang w:val="zh-CN"/>
        </w:rPr>
      </w:pPr>
      <w:r>
        <w:rPr>
          <w:rFonts w:hint="eastAsia" w:eastAsia="宋体"/>
          <w:b w:val="0"/>
          <w:bCs/>
          <w:sz w:val="28"/>
          <w:szCs w:val="28"/>
          <w:u w:val="single"/>
          <w:lang w:val="zh-CN"/>
        </w:rPr>
        <w:t xml:space="preserve">  </w:t>
      </w:r>
      <w:r>
        <w:rPr>
          <w:rFonts w:hint="eastAsia" w:eastAsia="宋体"/>
          <w:b w:val="0"/>
          <w:bCs/>
          <w:sz w:val="28"/>
          <w:szCs w:val="28"/>
          <w:u w:val="single"/>
          <w:lang w:val="en-US" w:eastAsia="zh-CN"/>
        </w:rPr>
        <w:t xml:space="preserve">   </w:t>
      </w:r>
      <w:r>
        <w:rPr>
          <w:rFonts w:hint="eastAsia" w:eastAsia="宋体"/>
          <w:b w:val="0"/>
          <w:bCs/>
          <w:sz w:val="28"/>
          <w:szCs w:val="28"/>
          <w:lang w:val="zh-CN"/>
        </w:rPr>
        <w:t>致</w:t>
      </w:r>
      <w:r>
        <w:rPr>
          <w:rFonts w:hint="eastAsia" w:ascii="Times New Roman" w:hAnsi="Times New Roman" w:eastAsia="宋体" w:cs="Times New Roman"/>
          <w:b w:val="0"/>
          <w:bCs/>
          <w:sz w:val="28"/>
          <w:szCs w:val="28"/>
          <w:lang w:val="zh-CN"/>
        </w:rPr>
        <w:t>：</w:t>
      </w:r>
    </w:p>
    <w:p>
      <w:pPr>
        <w:spacing w:line="360" w:lineRule="auto"/>
        <w:ind w:firstLine="560" w:firstLineChars="200"/>
        <w:jc w:val="left"/>
        <w:rPr>
          <w:rFonts w:hint="eastAsia" w:ascii="Times New Roman" w:hAnsi="Times New Roman" w:eastAsia="宋体" w:cs="Times New Roman"/>
          <w:b w:val="0"/>
          <w:bCs/>
          <w:sz w:val="28"/>
          <w:szCs w:val="28"/>
          <w:lang w:val="zh-CN"/>
        </w:rPr>
      </w:pPr>
      <w:r>
        <w:rPr>
          <w:rFonts w:hint="eastAsia" w:ascii="Times New Roman" w:hAnsi="Times New Roman" w:eastAsia="宋体" w:cs="Times New Roman"/>
          <w:b w:val="0"/>
          <w:bCs/>
          <w:sz w:val="28"/>
          <w:szCs w:val="28"/>
          <w:lang w:val="zh-CN"/>
        </w:rPr>
        <w:t>本单位郑重承诺，在本项目的采购过程中，本单位提供的供应商报价为市场公允价格，且价格不高于国内同级单位最低成交价</w:t>
      </w:r>
      <w:r>
        <w:rPr>
          <w:rFonts w:hint="eastAsia" w:ascii="Times New Roman" w:hAnsi="Times New Roman" w:eastAsia="宋体" w:cs="Times New Roman"/>
          <w:b w:val="0"/>
          <w:bCs/>
          <w:sz w:val="28"/>
          <w:szCs w:val="28"/>
          <w:lang w:val="zh-CN" w:eastAsia="zh-CN"/>
        </w:rPr>
        <w:t>，</w:t>
      </w:r>
      <w:r>
        <w:rPr>
          <w:rFonts w:hint="eastAsia" w:ascii="Times New Roman" w:hAnsi="Times New Roman" w:eastAsia="宋体" w:cs="Times New Roman"/>
          <w:b w:val="0"/>
          <w:bCs/>
          <w:sz w:val="28"/>
          <w:szCs w:val="28"/>
          <w:lang w:val="zh-CN"/>
        </w:rPr>
        <w:t>不存在任何价格虚高、显失公允或欺诈等不诚信情况。若后续贵单位发现本单位存在上述价格虚高或偏离市场价格、欺诈等不诚信行为的，本单位自愿承担由此带来的一切后果。</w:t>
      </w:r>
    </w:p>
    <w:p>
      <w:pPr>
        <w:spacing w:line="360" w:lineRule="auto"/>
        <w:ind w:firstLine="560" w:firstLineChars="200"/>
        <w:jc w:val="left"/>
        <w:rPr>
          <w:rFonts w:hint="eastAsia" w:ascii="Times New Roman" w:hAnsi="Times New Roman" w:eastAsia="宋体" w:cs="Times New Roman"/>
          <w:b w:val="0"/>
          <w:bCs/>
          <w:sz w:val="28"/>
          <w:szCs w:val="28"/>
          <w:lang w:val="zh-CN"/>
        </w:rPr>
      </w:pPr>
    </w:p>
    <w:p>
      <w:pPr>
        <w:spacing w:line="360" w:lineRule="auto"/>
        <w:ind w:firstLine="560" w:firstLineChars="200"/>
        <w:jc w:val="right"/>
        <w:rPr>
          <w:rFonts w:hint="eastAsia" w:ascii="Times New Roman" w:hAnsi="Times New Roman" w:eastAsia="宋体" w:cs="Times New Roman"/>
          <w:b w:val="0"/>
          <w:bCs/>
          <w:sz w:val="28"/>
          <w:szCs w:val="28"/>
          <w:lang w:val="zh-CN"/>
        </w:rPr>
      </w:pPr>
      <w:r>
        <w:rPr>
          <w:rFonts w:hint="eastAsia" w:ascii="Times New Roman" w:hAnsi="Times New Roman" w:eastAsia="宋体" w:cs="Times New Roman"/>
          <w:b w:val="0"/>
          <w:bCs/>
          <w:sz w:val="28"/>
          <w:szCs w:val="28"/>
          <w:lang w:val="zh-CN"/>
        </w:rPr>
        <w:t>报价方全称：</w:t>
      </w:r>
      <w:r>
        <w:rPr>
          <w:rFonts w:hint="eastAsia" w:ascii="Times New Roman" w:hAnsi="Times New Roman" w:eastAsia="宋体" w:cs="Times New Roman"/>
          <w:b w:val="0"/>
          <w:bCs/>
          <w:sz w:val="28"/>
          <w:szCs w:val="28"/>
          <w:u w:val="single"/>
          <w:lang w:val="en-US" w:eastAsia="zh-CN"/>
        </w:rPr>
        <w:t xml:space="preserve">            </w:t>
      </w:r>
      <w:r>
        <w:rPr>
          <w:rFonts w:hint="eastAsia" w:ascii="Times New Roman" w:hAnsi="Times New Roman" w:eastAsia="宋体" w:cs="Times New Roman"/>
          <w:b w:val="0"/>
          <w:bCs/>
          <w:sz w:val="28"/>
          <w:szCs w:val="28"/>
          <w:lang w:val="zh-CN"/>
        </w:rPr>
        <w:t>（盖章）</w:t>
      </w:r>
    </w:p>
    <w:p>
      <w:pPr>
        <w:spacing w:line="360" w:lineRule="auto"/>
        <w:ind w:firstLine="560" w:firstLineChars="200"/>
        <w:jc w:val="right"/>
        <w:rPr>
          <w:rFonts w:hint="eastAsia" w:ascii="Times New Roman" w:hAnsi="Times New Roman" w:eastAsia="宋体" w:cs="Times New Roman"/>
          <w:b w:val="0"/>
          <w:bCs/>
          <w:sz w:val="28"/>
          <w:szCs w:val="28"/>
          <w:lang w:val="zh-CN"/>
        </w:rPr>
      </w:pPr>
      <w:r>
        <w:rPr>
          <w:rFonts w:hint="eastAsia" w:ascii="Times New Roman" w:hAnsi="Times New Roman" w:eastAsia="宋体" w:cs="Times New Roman"/>
          <w:b w:val="0"/>
          <w:bCs/>
          <w:sz w:val="28"/>
          <w:szCs w:val="28"/>
          <w:lang w:val="zh-CN"/>
        </w:rPr>
        <w:t>法定代表人（或授权代表）：</w:t>
      </w:r>
      <w:r>
        <w:rPr>
          <w:rFonts w:hint="eastAsia" w:ascii="Times New Roman" w:hAnsi="Times New Roman" w:eastAsia="宋体" w:cs="Times New Roman"/>
          <w:b w:val="0"/>
          <w:bCs/>
          <w:sz w:val="28"/>
          <w:szCs w:val="28"/>
          <w:u w:val="single"/>
          <w:lang w:val="zh-CN"/>
        </w:rPr>
        <w:t xml:space="preserve">           </w:t>
      </w:r>
      <w:r>
        <w:rPr>
          <w:rFonts w:hint="eastAsia" w:ascii="Times New Roman" w:hAnsi="Times New Roman" w:eastAsia="宋体" w:cs="Times New Roman"/>
          <w:b w:val="0"/>
          <w:bCs/>
          <w:sz w:val="28"/>
          <w:szCs w:val="28"/>
          <w:lang w:val="zh-CN"/>
        </w:rPr>
        <w:t>（签字）</w:t>
      </w:r>
    </w:p>
    <w:p>
      <w:pPr>
        <w:spacing w:line="360" w:lineRule="auto"/>
        <w:ind w:firstLine="560" w:firstLineChars="200"/>
        <w:jc w:val="right"/>
        <w:rPr>
          <w:rFonts w:hint="eastAsia" w:ascii="Times New Roman" w:hAnsi="Times New Roman" w:eastAsia="宋体" w:cs="Times New Roman"/>
          <w:b w:val="0"/>
          <w:bCs/>
          <w:sz w:val="28"/>
          <w:szCs w:val="28"/>
          <w:lang w:val="zh-CN"/>
        </w:rPr>
      </w:pPr>
      <w:r>
        <w:rPr>
          <w:rFonts w:hint="eastAsia" w:ascii="Times New Roman" w:hAnsi="Times New Roman" w:eastAsia="宋体" w:cs="Times New Roman"/>
          <w:b w:val="0"/>
          <w:bCs/>
          <w:sz w:val="28"/>
          <w:szCs w:val="28"/>
          <w:lang w:val="zh-CN"/>
        </w:rPr>
        <w:t>日期：      年   月   日</w:t>
      </w:r>
    </w:p>
    <w:p>
      <w:pPr>
        <w:ind w:firstLine="420"/>
      </w:pPr>
    </w:p>
    <w:p>
      <w:pPr>
        <w:ind w:firstLine="420"/>
      </w:pPr>
    </w:p>
    <w:p>
      <w:pPr>
        <w:ind w:firstLine="422"/>
        <w:rPr>
          <w:rFonts w:hint="eastAsia" w:ascii="宋体" w:hAnsi="宋体" w:eastAsia="宋体" w:cs="宋体"/>
          <w:b/>
          <w:bCs/>
          <w:sz w:val="28"/>
          <w:szCs w:val="36"/>
        </w:rPr>
      </w:pPr>
      <w:r>
        <w:rPr>
          <w:rFonts w:hint="eastAsia" w:ascii="宋体" w:hAnsi="宋体" w:eastAsia="宋体" w:cs="宋体"/>
          <w:b/>
          <w:bCs/>
          <w:sz w:val="28"/>
          <w:szCs w:val="36"/>
        </w:rPr>
        <w:t>注：</w:t>
      </w:r>
    </w:p>
    <w:p>
      <w:pPr>
        <w:ind w:firstLine="422"/>
        <w:rPr>
          <w:rFonts w:hint="eastAsia" w:ascii="宋体" w:hAnsi="宋体" w:eastAsia="宋体" w:cs="宋体"/>
          <w:b/>
          <w:bCs/>
          <w:sz w:val="28"/>
          <w:szCs w:val="36"/>
        </w:rPr>
      </w:pPr>
      <w:r>
        <w:rPr>
          <w:rFonts w:hint="eastAsia" w:ascii="宋体" w:hAnsi="宋体" w:eastAsia="宋体" w:cs="宋体"/>
          <w:b/>
          <w:bCs/>
          <w:sz w:val="28"/>
          <w:szCs w:val="36"/>
        </w:rPr>
        <w:t>1.</w:t>
      </w:r>
      <w:r>
        <w:rPr>
          <w:rFonts w:hint="eastAsia" w:ascii="宋体" w:hAnsi="宋体" w:eastAsia="宋体" w:cs="宋体"/>
          <w:b/>
          <w:bCs/>
          <w:sz w:val="28"/>
          <w:szCs w:val="36"/>
          <w:lang w:eastAsia="zh-CN"/>
        </w:rPr>
        <w:t>成交</w:t>
      </w:r>
      <w:r>
        <w:rPr>
          <w:rFonts w:hint="eastAsia" w:ascii="宋体" w:hAnsi="宋体" w:eastAsia="宋体" w:cs="宋体"/>
          <w:b/>
          <w:bCs/>
          <w:sz w:val="28"/>
          <w:szCs w:val="36"/>
        </w:rPr>
        <w:t>通知书发出前，预</w:t>
      </w:r>
      <w:r>
        <w:rPr>
          <w:rFonts w:hint="eastAsia" w:ascii="宋体" w:hAnsi="宋体" w:eastAsia="宋体" w:cs="宋体"/>
          <w:b/>
          <w:bCs/>
          <w:sz w:val="28"/>
          <w:szCs w:val="36"/>
          <w:lang w:eastAsia="zh-CN"/>
        </w:rPr>
        <w:t>成交</w:t>
      </w:r>
      <w:r>
        <w:rPr>
          <w:rFonts w:hint="eastAsia" w:ascii="宋体" w:hAnsi="宋体" w:eastAsia="宋体" w:cs="宋体"/>
          <w:b/>
          <w:bCs/>
          <w:sz w:val="28"/>
          <w:szCs w:val="36"/>
        </w:rPr>
        <w:t>人必须按采购（谈判）人要求提供报价依据。</w:t>
      </w:r>
    </w:p>
    <w:p>
      <w:pPr>
        <w:ind w:firstLine="422"/>
        <w:rPr>
          <w:rFonts w:hint="eastAsia" w:ascii="宋体" w:hAnsi="宋体" w:eastAsia="宋体" w:cs="宋体"/>
          <w:b/>
          <w:bCs/>
          <w:sz w:val="28"/>
          <w:szCs w:val="36"/>
        </w:rPr>
      </w:pPr>
      <w:r>
        <w:rPr>
          <w:rFonts w:hint="eastAsia" w:ascii="宋体" w:hAnsi="宋体" w:eastAsia="宋体" w:cs="宋体"/>
          <w:b/>
          <w:bCs/>
          <w:sz w:val="28"/>
          <w:szCs w:val="36"/>
        </w:rPr>
        <w:t>2.医院相关部门进行价格复核时，若预</w:t>
      </w:r>
      <w:r>
        <w:rPr>
          <w:rFonts w:hint="eastAsia" w:ascii="宋体" w:hAnsi="宋体" w:cs="宋体"/>
          <w:b/>
          <w:bCs/>
          <w:sz w:val="28"/>
          <w:szCs w:val="36"/>
          <w:lang w:eastAsia="zh-CN"/>
        </w:rPr>
        <w:t>成交</w:t>
      </w:r>
      <w:r>
        <w:rPr>
          <w:rFonts w:hint="eastAsia" w:ascii="宋体" w:hAnsi="宋体" w:eastAsia="宋体" w:cs="宋体"/>
          <w:b/>
          <w:bCs/>
          <w:sz w:val="28"/>
          <w:szCs w:val="36"/>
        </w:rPr>
        <w:t>人未按要求提供报价依据或提供的报价依据不足以证明其报价合理性的，则取消其参与后续采购活动的资格，并按规定进行处罚；若预</w:t>
      </w:r>
      <w:r>
        <w:rPr>
          <w:rFonts w:hint="eastAsia" w:ascii="宋体" w:hAnsi="宋体" w:cs="宋体"/>
          <w:b/>
          <w:bCs/>
          <w:sz w:val="28"/>
          <w:szCs w:val="36"/>
          <w:lang w:eastAsia="zh-CN"/>
        </w:rPr>
        <w:t>成交</w:t>
      </w:r>
      <w:r>
        <w:rPr>
          <w:rFonts w:hint="eastAsia" w:ascii="宋体" w:hAnsi="宋体" w:eastAsia="宋体" w:cs="宋体"/>
          <w:b/>
          <w:bCs/>
          <w:sz w:val="28"/>
          <w:szCs w:val="36"/>
        </w:rPr>
        <w:t>人提供的报价依据相对客观合理，则按程序开展后续采购活动。</w:t>
      </w:r>
    </w:p>
    <w:p>
      <w:pPr>
        <w:ind w:firstLine="422"/>
        <w:rPr>
          <w:rFonts w:hint="eastAsia" w:ascii="宋体" w:hAnsi="宋体" w:eastAsia="宋体" w:cs="宋体"/>
          <w:b/>
          <w:bCs/>
          <w:sz w:val="28"/>
          <w:szCs w:val="36"/>
        </w:rPr>
      </w:pPr>
      <w:r>
        <w:rPr>
          <w:rFonts w:hint="eastAsia" w:ascii="宋体" w:hAnsi="宋体" w:eastAsia="宋体" w:cs="宋体"/>
          <w:b/>
          <w:bCs/>
          <w:sz w:val="28"/>
          <w:szCs w:val="36"/>
        </w:rPr>
        <w:t>3.经医院相关部门</w:t>
      </w:r>
      <w:r>
        <w:rPr>
          <w:rFonts w:hint="eastAsia" w:ascii="宋体" w:hAnsi="宋体" w:eastAsia="宋体" w:cs="宋体"/>
          <w:b/>
          <w:bCs/>
          <w:sz w:val="28"/>
          <w:szCs w:val="36"/>
          <w:lang w:eastAsia="zh-CN"/>
        </w:rPr>
        <w:t>价格复核</w:t>
      </w:r>
      <w:r>
        <w:rPr>
          <w:rFonts w:hint="eastAsia" w:ascii="宋体" w:hAnsi="宋体" w:eastAsia="宋体" w:cs="宋体"/>
          <w:b/>
          <w:bCs/>
          <w:sz w:val="28"/>
          <w:szCs w:val="36"/>
        </w:rPr>
        <w:t>后，如无价格问题的，则继续按程序开展后续采购活动。</w:t>
      </w:r>
    </w:p>
    <w:p>
      <w:pPr>
        <w:ind w:firstLine="422"/>
        <w:rPr>
          <w:rFonts w:hint="eastAsia" w:ascii="宋体" w:hAnsi="宋体" w:eastAsia="宋体" w:cs="宋体"/>
          <w:b/>
          <w:bCs/>
          <w:sz w:val="28"/>
          <w:szCs w:val="36"/>
        </w:rPr>
      </w:pPr>
      <w:r>
        <w:rPr>
          <w:rFonts w:hint="eastAsia" w:ascii="宋体" w:hAnsi="宋体" w:eastAsia="宋体" w:cs="宋体"/>
          <w:b/>
          <w:bCs/>
          <w:sz w:val="28"/>
          <w:szCs w:val="36"/>
        </w:rPr>
        <w:t>4.经医院相关部门</w:t>
      </w:r>
      <w:r>
        <w:rPr>
          <w:rFonts w:hint="eastAsia" w:ascii="宋体" w:hAnsi="宋体" w:eastAsia="宋体" w:cs="宋体"/>
          <w:b/>
          <w:bCs/>
          <w:sz w:val="28"/>
          <w:szCs w:val="36"/>
          <w:lang w:eastAsia="zh-CN"/>
        </w:rPr>
        <w:t>价格复核</w:t>
      </w:r>
      <w:r>
        <w:rPr>
          <w:rFonts w:hint="eastAsia" w:ascii="宋体" w:hAnsi="宋体" w:eastAsia="宋体" w:cs="宋体"/>
          <w:b/>
          <w:bCs/>
          <w:sz w:val="28"/>
          <w:szCs w:val="36"/>
        </w:rPr>
        <w:t>后，如存在价格虚高或提供虚假材料等不诚信问题，尚未签订正式合同的（包括已签订采购合同草案、公布评审结果等），则取消参与后续采购活动的资格，并按规定进行处罚；已签订正式合同的，</w:t>
      </w:r>
      <w:r>
        <w:rPr>
          <w:rFonts w:hint="eastAsia" w:ascii="宋体" w:hAnsi="宋体" w:eastAsia="宋体" w:cs="宋体"/>
          <w:b/>
          <w:bCs/>
          <w:sz w:val="28"/>
          <w:szCs w:val="36"/>
          <w:lang w:eastAsia="zh-CN"/>
        </w:rPr>
        <w:t>成交</w:t>
      </w:r>
      <w:r>
        <w:rPr>
          <w:rFonts w:hint="eastAsia" w:ascii="宋体" w:hAnsi="宋体" w:eastAsia="宋体" w:cs="宋体"/>
          <w:b/>
          <w:bCs/>
          <w:sz w:val="28"/>
          <w:szCs w:val="36"/>
        </w:rPr>
        <w:t>人应当继续履行合同，退回价格虚高款项，并按规定进行处罚；</w:t>
      </w:r>
      <w:r>
        <w:rPr>
          <w:rFonts w:hint="eastAsia" w:ascii="宋体" w:hAnsi="宋体" w:eastAsia="宋体" w:cs="宋体"/>
          <w:b/>
          <w:bCs/>
          <w:sz w:val="28"/>
          <w:szCs w:val="36"/>
          <w:lang w:eastAsia="zh-CN"/>
        </w:rPr>
        <w:t>成交</w:t>
      </w:r>
      <w:r>
        <w:rPr>
          <w:rFonts w:hint="eastAsia" w:ascii="宋体" w:hAnsi="宋体" w:eastAsia="宋体" w:cs="宋体"/>
          <w:b/>
          <w:bCs/>
          <w:sz w:val="28"/>
          <w:szCs w:val="36"/>
        </w:rPr>
        <w:t>人拒不接受</w:t>
      </w:r>
      <w:r>
        <w:rPr>
          <w:rFonts w:hint="eastAsia" w:ascii="宋体" w:hAnsi="宋体" w:eastAsia="宋体" w:cs="宋体"/>
          <w:b/>
          <w:bCs/>
          <w:sz w:val="28"/>
          <w:szCs w:val="36"/>
          <w:lang w:eastAsia="zh-CN"/>
        </w:rPr>
        <w:t>价格复核</w:t>
      </w:r>
      <w:r>
        <w:rPr>
          <w:rFonts w:hint="eastAsia" w:ascii="宋体" w:hAnsi="宋体" w:eastAsia="宋体" w:cs="宋体"/>
          <w:b/>
          <w:bCs/>
          <w:sz w:val="28"/>
          <w:szCs w:val="36"/>
        </w:rPr>
        <w:t>结果的，采购（谈判）人有权重新组织采购，同时对其进行处罚。</w:t>
      </w:r>
    </w:p>
    <w:p>
      <w:pPr>
        <w:pStyle w:val="17"/>
        <w:rPr>
          <w:rFonts w:hint="eastAsia" w:ascii="宋体" w:hAnsi="宋体" w:cs="宋体"/>
          <w:b/>
          <w:bCs/>
          <w:sz w:val="28"/>
          <w:szCs w:val="36"/>
          <w:lang w:eastAsia="zh-CN"/>
        </w:rPr>
        <w:sectPr>
          <w:pgSz w:w="11906" w:h="16838"/>
          <w:pgMar w:top="1418" w:right="1134" w:bottom="1418" w:left="1418" w:header="851" w:footer="851" w:gutter="0"/>
          <w:pgNumType w:fmt="numberInDash"/>
          <w:cols w:space="720" w:num="1"/>
          <w:docGrid w:linePitch="388" w:charSpace="-1260"/>
        </w:sectPr>
      </w:pPr>
      <w:r>
        <w:rPr>
          <w:rFonts w:hint="eastAsia" w:ascii="宋体" w:hAnsi="宋体" w:eastAsia="宋体" w:cs="宋体"/>
          <w:b/>
          <w:bCs/>
          <w:sz w:val="28"/>
          <w:szCs w:val="36"/>
        </w:rPr>
        <w:t>5.以上处罚包括纳入黑名单、网上公示、罚款等</w:t>
      </w:r>
      <w:r>
        <w:rPr>
          <w:rFonts w:hint="eastAsia" w:ascii="宋体" w:hAnsi="宋体" w:cs="宋体"/>
          <w:b/>
          <w:bCs/>
          <w:sz w:val="28"/>
          <w:szCs w:val="36"/>
          <w:lang w:eastAsia="zh-CN"/>
        </w:rPr>
        <w:t>。</w:t>
      </w:r>
    </w:p>
    <w:p>
      <w:pPr>
        <w:pStyle w:val="6"/>
        <w:keepNext/>
        <w:keepLines/>
        <w:pageBreakBefore w:val="0"/>
        <w:widowControl w:val="0"/>
        <w:kinsoku/>
        <w:wordWrap/>
        <w:overflowPunct/>
        <w:topLinePunct w:val="0"/>
        <w:autoSpaceDE/>
        <w:autoSpaceDN/>
        <w:bidi w:val="0"/>
        <w:adjustRightInd/>
        <w:snapToGrid/>
        <w:spacing w:before="195" w:beforeLines="50" w:after="195" w:afterLines="50" w:line="560" w:lineRule="exact"/>
        <w:textAlignment w:val="auto"/>
        <w:rPr>
          <w:rFonts w:hint="default"/>
          <w:b w:val="0"/>
          <w:bCs/>
          <w:lang w:val="en-US" w:eastAsia="zh-CN"/>
        </w:rPr>
      </w:pPr>
      <w:bookmarkStart w:id="457" w:name="_Toc16763"/>
      <w:r>
        <w:rPr>
          <w:rFonts w:hint="eastAsia"/>
          <w:b w:val="0"/>
          <w:bCs/>
          <w:lang w:val="en-US" w:eastAsia="zh-CN"/>
        </w:rPr>
        <w:t>附件1-</w:t>
      </w:r>
      <w:bookmarkEnd w:id="457"/>
      <w:r>
        <w:rPr>
          <w:rFonts w:hint="eastAsia"/>
          <w:b w:val="0"/>
          <w:bCs/>
          <w:lang w:val="en-US" w:eastAsia="zh-CN"/>
        </w:rPr>
        <w:t>6 分项报价表</w:t>
      </w:r>
    </w:p>
    <w:p>
      <w:pPr>
        <w:pStyle w:val="157"/>
      </w:pPr>
      <w:r>
        <w:rPr>
          <w:rFonts w:hint="eastAsia"/>
        </w:rPr>
        <w:t>分项报价表</w:t>
      </w:r>
    </w:p>
    <w:p>
      <w:pPr>
        <w:rPr>
          <w:rFonts w:hint="eastAsia"/>
          <w:b/>
          <w:bCs/>
          <w:u w:val="single"/>
        </w:rPr>
      </w:pPr>
      <w:r>
        <w:rPr>
          <w:rFonts w:hint="eastAsia"/>
          <w:b/>
          <w:bCs/>
        </w:rPr>
        <w:t>项目名称：</w:t>
      </w:r>
      <w:r>
        <w:rPr>
          <w:rFonts w:hint="eastAsia"/>
          <w:b/>
          <w:bCs/>
          <w:u w:val="single"/>
        </w:rPr>
        <w:t xml:space="preserve">                           </w:t>
      </w:r>
      <w:r>
        <w:rPr>
          <w:rFonts w:hint="eastAsia"/>
          <w:b/>
          <w:bCs/>
        </w:rPr>
        <w:t xml:space="preserve">    项目编号：</w:t>
      </w:r>
      <w:r>
        <w:rPr>
          <w:rFonts w:hint="eastAsia"/>
          <w:b/>
          <w:bCs/>
          <w:u w:val="single"/>
        </w:rPr>
        <w:t xml:space="preserve">              </w:t>
      </w:r>
      <w:r>
        <w:rPr>
          <w:rFonts w:hint="eastAsia"/>
          <w:b/>
          <w:bCs/>
        </w:rPr>
        <w:t xml:space="preserve">  包号：</w:t>
      </w:r>
      <w:r>
        <w:rPr>
          <w:rFonts w:hint="eastAsia"/>
          <w:b/>
          <w:bCs/>
          <w:u w:val="single"/>
        </w:rPr>
        <w:t xml:space="preserve">          </w:t>
      </w:r>
      <w:r>
        <w:rPr>
          <w:sz w:val="28"/>
          <w:szCs w:val="28"/>
        </w:rPr>
        <w:t>金额单位：元</w:t>
      </w:r>
    </w:p>
    <w:tbl>
      <w:tblPr>
        <w:tblStyle w:val="44"/>
        <w:tblW w:w="1385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2"/>
        <w:gridCol w:w="1847"/>
        <w:gridCol w:w="1308"/>
        <w:gridCol w:w="1856"/>
        <w:gridCol w:w="1239"/>
        <w:gridCol w:w="1201"/>
        <w:gridCol w:w="1203"/>
        <w:gridCol w:w="1203"/>
        <w:gridCol w:w="1602"/>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8" w:hRule="atLeast"/>
        </w:trPr>
        <w:tc>
          <w:tcPr>
            <w:tcW w:w="1002" w:type="dxa"/>
            <w:noWrap w:val="0"/>
            <w:vAlign w:val="center"/>
          </w:tcPr>
          <w:p>
            <w:r>
              <w:t>序号</w:t>
            </w:r>
          </w:p>
        </w:tc>
        <w:tc>
          <w:tcPr>
            <w:tcW w:w="1847" w:type="dxa"/>
            <w:noWrap/>
            <w:vAlign w:val="center"/>
          </w:tcPr>
          <w:p>
            <w:r>
              <w:t>货物名称</w:t>
            </w:r>
          </w:p>
        </w:tc>
        <w:tc>
          <w:tcPr>
            <w:tcW w:w="1308" w:type="dxa"/>
            <w:noWrap w:val="0"/>
            <w:vAlign w:val="center"/>
          </w:tcPr>
          <w:p>
            <w:r>
              <w:t>国别及品牌</w:t>
            </w:r>
          </w:p>
        </w:tc>
        <w:tc>
          <w:tcPr>
            <w:tcW w:w="1856" w:type="dxa"/>
            <w:noWrap w:val="0"/>
            <w:vAlign w:val="center"/>
          </w:tcPr>
          <w:p>
            <w:r>
              <w:t>规格型号</w:t>
            </w:r>
          </w:p>
        </w:tc>
        <w:tc>
          <w:tcPr>
            <w:tcW w:w="1239" w:type="dxa"/>
            <w:noWrap/>
            <w:vAlign w:val="center"/>
          </w:tcPr>
          <w:p>
            <w:r>
              <w:t>数量</w:t>
            </w:r>
          </w:p>
        </w:tc>
        <w:tc>
          <w:tcPr>
            <w:tcW w:w="1201" w:type="dxa"/>
            <w:noWrap/>
            <w:vAlign w:val="center"/>
          </w:tcPr>
          <w:p>
            <w:r>
              <w:t>单位</w:t>
            </w:r>
          </w:p>
        </w:tc>
        <w:tc>
          <w:tcPr>
            <w:tcW w:w="1203" w:type="dxa"/>
            <w:noWrap/>
            <w:vAlign w:val="center"/>
          </w:tcPr>
          <w:p>
            <w:r>
              <w:t>单价</w:t>
            </w:r>
          </w:p>
        </w:tc>
        <w:tc>
          <w:tcPr>
            <w:tcW w:w="1203" w:type="dxa"/>
            <w:noWrap/>
            <w:vAlign w:val="center"/>
          </w:tcPr>
          <w:p>
            <w:r>
              <w:t>总价</w:t>
            </w:r>
          </w:p>
        </w:tc>
        <w:tc>
          <w:tcPr>
            <w:tcW w:w="1602" w:type="dxa"/>
            <w:noWrap/>
            <w:vAlign w:val="center"/>
          </w:tcPr>
          <w:p>
            <w:r>
              <w:t>原产地</w:t>
            </w:r>
          </w:p>
        </w:tc>
        <w:tc>
          <w:tcPr>
            <w:tcW w:w="1394" w:type="dxa"/>
            <w:noWrap w:val="0"/>
            <w:vAlign w:val="center"/>
          </w:tcPr>
          <w:p>
            <w: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62"/>
            </w:pPr>
          </w:p>
        </w:tc>
        <w:tc>
          <w:tcPr>
            <w:tcW w:w="1847" w:type="dxa"/>
            <w:noWrap/>
            <w:vAlign w:val="center"/>
          </w:tcPr>
          <w:p>
            <w:pPr>
              <w:pStyle w:val="62"/>
            </w:pPr>
          </w:p>
        </w:tc>
        <w:tc>
          <w:tcPr>
            <w:tcW w:w="1308" w:type="dxa"/>
            <w:noWrap/>
            <w:vAlign w:val="center"/>
          </w:tcPr>
          <w:p>
            <w:pPr>
              <w:pStyle w:val="62"/>
            </w:pPr>
          </w:p>
        </w:tc>
        <w:tc>
          <w:tcPr>
            <w:tcW w:w="1856" w:type="dxa"/>
            <w:noWrap/>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62"/>
            </w:pPr>
          </w:p>
        </w:tc>
        <w:tc>
          <w:tcPr>
            <w:tcW w:w="1847" w:type="dxa"/>
            <w:noWrap/>
            <w:vAlign w:val="center"/>
          </w:tcPr>
          <w:p>
            <w:pPr>
              <w:pStyle w:val="62"/>
            </w:pPr>
          </w:p>
        </w:tc>
        <w:tc>
          <w:tcPr>
            <w:tcW w:w="1308" w:type="dxa"/>
            <w:noWrap/>
            <w:vAlign w:val="center"/>
          </w:tcPr>
          <w:p>
            <w:pPr>
              <w:pStyle w:val="62"/>
            </w:pPr>
          </w:p>
        </w:tc>
        <w:tc>
          <w:tcPr>
            <w:tcW w:w="1856" w:type="dxa"/>
            <w:noWrap/>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62"/>
            </w:pPr>
          </w:p>
        </w:tc>
        <w:tc>
          <w:tcPr>
            <w:tcW w:w="1847" w:type="dxa"/>
            <w:noWrap/>
            <w:vAlign w:val="center"/>
          </w:tcPr>
          <w:p>
            <w:pPr>
              <w:pStyle w:val="62"/>
            </w:pPr>
          </w:p>
        </w:tc>
        <w:tc>
          <w:tcPr>
            <w:tcW w:w="1308" w:type="dxa"/>
            <w:noWrap/>
            <w:vAlign w:val="center"/>
          </w:tcPr>
          <w:p>
            <w:pPr>
              <w:pStyle w:val="62"/>
            </w:pPr>
          </w:p>
        </w:tc>
        <w:tc>
          <w:tcPr>
            <w:tcW w:w="1856" w:type="dxa"/>
            <w:noWrap/>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62"/>
            </w:pPr>
          </w:p>
        </w:tc>
        <w:tc>
          <w:tcPr>
            <w:tcW w:w="1847" w:type="dxa"/>
            <w:noWrap/>
            <w:vAlign w:val="center"/>
          </w:tcPr>
          <w:p>
            <w:pPr>
              <w:pStyle w:val="62"/>
            </w:pPr>
          </w:p>
        </w:tc>
        <w:tc>
          <w:tcPr>
            <w:tcW w:w="1308" w:type="dxa"/>
            <w:noWrap/>
            <w:vAlign w:val="center"/>
          </w:tcPr>
          <w:p>
            <w:pPr>
              <w:pStyle w:val="62"/>
            </w:pPr>
          </w:p>
        </w:tc>
        <w:tc>
          <w:tcPr>
            <w:tcW w:w="1856" w:type="dxa"/>
            <w:noWrap/>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62"/>
            </w:pPr>
          </w:p>
        </w:tc>
        <w:tc>
          <w:tcPr>
            <w:tcW w:w="1847" w:type="dxa"/>
            <w:noWrap w:val="0"/>
            <w:vAlign w:val="center"/>
          </w:tcPr>
          <w:p>
            <w:pPr>
              <w:pStyle w:val="62"/>
            </w:pPr>
          </w:p>
        </w:tc>
        <w:tc>
          <w:tcPr>
            <w:tcW w:w="1308" w:type="dxa"/>
            <w:noWrap w:val="0"/>
            <w:vAlign w:val="center"/>
          </w:tcPr>
          <w:p>
            <w:pPr>
              <w:pStyle w:val="62"/>
            </w:pPr>
          </w:p>
        </w:tc>
        <w:tc>
          <w:tcPr>
            <w:tcW w:w="1856" w:type="dxa"/>
            <w:noWrap w:val="0"/>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62"/>
            </w:pPr>
          </w:p>
        </w:tc>
        <w:tc>
          <w:tcPr>
            <w:tcW w:w="1847" w:type="dxa"/>
            <w:noWrap w:val="0"/>
            <w:vAlign w:val="center"/>
          </w:tcPr>
          <w:p>
            <w:pPr>
              <w:pStyle w:val="62"/>
            </w:pPr>
          </w:p>
        </w:tc>
        <w:tc>
          <w:tcPr>
            <w:tcW w:w="1308" w:type="dxa"/>
            <w:noWrap w:val="0"/>
            <w:vAlign w:val="center"/>
          </w:tcPr>
          <w:p>
            <w:pPr>
              <w:pStyle w:val="62"/>
            </w:pPr>
          </w:p>
        </w:tc>
        <w:tc>
          <w:tcPr>
            <w:tcW w:w="1856" w:type="dxa"/>
            <w:noWrap w:val="0"/>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62"/>
            </w:pPr>
          </w:p>
        </w:tc>
        <w:tc>
          <w:tcPr>
            <w:tcW w:w="1847" w:type="dxa"/>
            <w:noWrap/>
            <w:vAlign w:val="center"/>
          </w:tcPr>
          <w:p>
            <w:pPr>
              <w:pStyle w:val="62"/>
            </w:pPr>
          </w:p>
        </w:tc>
        <w:tc>
          <w:tcPr>
            <w:tcW w:w="1308" w:type="dxa"/>
            <w:noWrap/>
            <w:vAlign w:val="center"/>
          </w:tcPr>
          <w:p>
            <w:pPr>
              <w:pStyle w:val="62"/>
            </w:pPr>
          </w:p>
        </w:tc>
        <w:tc>
          <w:tcPr>
            <w:tcW w:w="1856" w:type="dxa"/>
            <w:noWrap/>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62"/>
            </w:pPr>
          </w:p>
        </w:tc>
        <w:tc>
          <w:tcPr>
            <w:tcW w:w="1847" w:type="dxa"/>
            <w:noWrap/>
            <w:vAlign w:val="center"/>
          </w:tcPr>
          <w:p>
            <w:pPr>
              <w:pStyle w:val="62"/>
            </w:pPr>
          </w:p>
        </w:tc>
        <w:tc>
          <w:tcPr>
            <w:tcW w:w="1308" w:type="dxa"/>
            <w:noWrap/>
            <w:vAlign w:val="center"/>
          </w:tcPr>
          <w:p>
            <w:pPr>
              <w:pStyle w:val="62"/>
            </w:pPr>
          </w:p>
        </w:tc>
        <w:tc>
          <w:tcPr>
            <w:tcW w:w="1856" w:type="dxa"/>
            <w:noWrap/>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62"/>
            </w:pPr>
          </w:p>
        </w:tc>
        <w:tc>
          <w:tcPr>
            <w:tcW w:w="1847" w:type="dxa"/>
            <w:noWrap/>
            <w:vAlign w:val="center"/>
          </w:tcPr>
          <w:p>
            <w:pPr>
              <w:pStyle w:val="62"/>
            </w:pPr>
          </w:p>
        </w:tc>
        <w:tc>
          <w:tcPr>
            <w:tcW w:w="1308" w:type="dxa"/>
            <w:noWrap/>
            <w:vAlign w:val="center"/>
          </w:tcPr>
          <w:p>
            <w:pPr>
              <w:pStyle w:val="62"/>
            </w:pPr>
          </w:p>
        </w:tc>
        <w:tc>
          <w:tcPr>
            <w:tcW w:w="1856" w:type="dxa"/>
            <w:noWrap/>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62"/>
            </w:pPr>
          </w:p>
        </w:tc>
        <w:tc>
          <w:tcPr>
            <w:tcW w:w="1847" w:type="dxa"/>
            <w:noWrap/>
            <w:vAlign w:val="center"/>
          </w:tcPr>
          <w:p>
            <w:pPr>
              <w:pStyle w:val="62"/>
            </w:pPr>
          </w:p>
        </w:tc>
        <w:tc>
          <w:tcPr>
            <w:tcW w:w="1308" w:type="dxa"/>
            <w:noWrap/>
            <w:vAlign w:val="center"/>
          </w:tcPr>
          <w:p>
            <w:pPr>
              <w:pStyle w:val="62"/>
            </w:pPr>
          </w:p>
        </w:tc>
        <w:tc>
          <w:tcPr>
            <w:tcW w:w="1856" w:type="dxa"/>
            <w:noWrap/>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bl>
    <w:p>
      <w:pPr>
        <w:ind w:firstLine="420"/>
        <w:rPr>
          <w:rFonts w:hint="eastAsia"/>
        </w:rPr>
      </w:pPr>
      <w:r>
        <w:rPr>
          <w:rFonts w:hint="eastAsia"/>
        </w:rPr>
        <w:t>说明：1. 按“</w:t>
      </w:r>
      <w:r>
        <w:rPr>
          <w:rFonts w:hint="eastAsia"/>
          <w:color w:val="FF0000"/>
        </w:rPr>
        <w:t>货物一览表及技术要求</w:t>
      </w:r>
      <w:r>
        <w:rPr>
          <w:rFonts w:hint="eastAsia"/>
        </w:rPr>
        <w:t>”中“</w:t>
      </w:r>
      <w:r>
        <w:rPr>
          <w:rFonts w:hint="eastAsia"/>
          <w:color w:val="FF0000"/>
        </w:rPr>
        <w:t>货物一览表</w:t>
      </w:r>
      <w:r>
        <w:rPr>
          <w:rFonts w:hint="eastAsia"/>
        </w:rPr>
        <w:t>”中的具体货物名称进行分项报价。</w:t>
      </w:r>
    </w:p>
    <w:p>
      <w:pPr>
        <w:pStyle w:val="17"/>
      </w:pPr>
      <w:r>
        <w:rPr>
          <w:rFonts w:hint="eastAsia"/>
        </w:rPr>
        <w:t>2.</w:t>
      </w:r>
      <w:r>
        <w:rPr>
          <w:rFonts w:hint="eastAsia"/>
          <w:b/>
          <w:bCs/>
        </w:rPr>
        <w:t>分项报价表</w:t>
      </w:r>
      <w:r>
        <w:rPr>
          <w:rFonts w:hint="eastAsia"/>
        </w:rPr>
        <w:t>中的与</w:t>
      </w:r>
      <w:r>
        <w:rPr>
          <w:rFonts w:hint="eastAsia"/>
          <w:b/>
          <w:bCs/>
        </w:rPr>
        <w:t>交货清单</w:t>
      </w:r>
      <w:r>
        <w:rPr>
          <w:rFonts w:hint="eastAsia"/>
        </w:rPr>
        <w:t>中“</w:t>
      </w:r>
      <w:r>
        <w:rPr>
          <w:rFonts w:hint="eastAsia"/>
          <w:b/>
          <w:bCs/>
        </w:rPr>
        <w:t>货物名称</w:t>
      </w:r>
      <w:r>
        <w:rPr>
          <w:rFonts w:hint="eastAsia"/>
        </w:rPr>
        <w:t>”一致</w:t>
      </w:r>
    </w:p>
    <w:p>
      <w:pPr>
        <w:pStyle w:val="16"/>
        <w:ind w:firstLine="420"/>
      </w:pPr>
    </w:p>
    <w:p>
      <w:pPr>
        <w:ind w:firstLine="560" w:firstLineChars="200"/>
        <w:rPr>
          <w:sz w:val="28"/>
          <w:szCs w:val="28"/>
        </w:rPr>
      </w:pPr>
      <w:r>
        <w:rPr>
          <w:rFonts w:hint="eastAsia"/>
          <w:sz w:val="28"/>
          <w:szCs w:val="28"/>
          <w:lang w:eastAsia="zh-CN"/>
        </w:rPr>
        <w:t>报价</w:t>
      </w:r>
      <w:r>
        <w:rPr>
          <w:sz w:val="28"/>
          <w:szCs w:val="28"/>
        </w:rPr>
        <w:t>供应商全称：（盖章）                               法定代表人（或授权代表）：（签字）</w:t>
      </w:r>
    </w:p>
    <w:p>
      <w:pPr>
        <w:ind w:firstLine="8120" w:firstLineChars="2900"/>
        <w:jc w:val="left"/>
        <w:rPr>
          <w:rFonts w:ascii="Times New Roman" w:hAnsi="Times New Roman" w:eastAsia="宋体" w:cs="Times New Roman"/>
          <w:sz w:val="28"/>
          <w:szCs w:val="28"/>
        </w:rPr>
        <w:sectPr>
          <w:pgSz w:w="16838" w:h="11906" w:orient="landscape"/>
          <w:pgMar w:top="1418" w:right="1418" w:bottom="1134" w:left="1418" w:header="851" w:footer="851" w:gutter="0"/>
          <w:pgNumType w:fmt="numberInDash"/>
          <w:cols w:space="720" w:num="1"/>
        </w:sectPr>
      </w:pPr>
      <w:r>
        <w:rPr>
          <w:rFonts w:hint="eastAsia" w:ascii="Times New Roman" w:hAnsi="Times New Roman" w:eastAsia="宋体" w:cs="Times New Roman"/>
          <w:sz w:val="28"/>
          <w:szCs w:val="28"/>
          <w:lang w:val="zh-CN"/>
        </w:rPr>
        <w:t>日期：</w:t>
      </w:r>
      <w:r>
        <w:rPr>
          <w:rFonts w:hint="eastAsia" w:ascii="Times New Roman" w:hAnsi="Times New Roman" w:eastAsia="宋体" w:cs="Times New Roman"/>
          <w:sz w:val="28"/>
          <w:szCs w:val="28"/>
        </w:rPr>
        <w:t xml:space="preserve">     </w:t>
      </w:r>
      <w:r>
        <w:rPr>
          <w:rFonts w:hint="eastAsia" w:ascii="Times New Roman" w:hAnsi="Times New Roman" w:eastAsia="宋体" w:cs="Times New Roman"/>
          <w:sz w:val="28"/>
          <w:szCs w:val="28"/>
          <w:lang w:val="zh-CN"/>
        </w:rPr>
        <w:t xml:space="preserve">年  </w:t>
      </w:r>
      <w:r>
        <w:rPr>
          <w:rFonts w:hint="eastAsia" w:ascii="Times New Roman" w:hAnsi="Times New Roman" w:eastAsia="宋体" w:cs="Times New Roman"/>
          <w:sz w:val="28"/>
          <w:szCs w:val="28"/>
        </w:rPr>
        <w:t xml:space="preserve"> </w:t>
      </w:r>
      <w:r>
        <w:rPr>
          <w:rFonts w:hint="eastAsia" w:ascii="Times New Roman" w:hAnsi="Times New Roman" w:eastAsia="宋体" w:cs="Times New Roman"/>
          <w:sz w:val="28"/>
          <w:szCs w:val="28"/>
          <w:lang w:val="zh-CN"/>
        </w:rPr>
        <w:t xml:space="preserve">月 </w:t>
      </w:r>
      <w:r>
        <w:rPr>
          <w:rFonts w:hint="eastAsia" w:ascii="Times New Roman" w:hAnsi="Times New Roman" w:eastAsia="宋体" w:cs="Times New Roman"/>
          <w:sz w:val="28"/>
          <w:szCs w:val="28"/>
        </w:rPr>
        <w:t xml:space="preserve"> </w:t>
      </w:r>
      <w:r>
        <w:rPr>
          <w:rFonts w:hint="eastAsia" w:ascii="Times New Roman" w:hAnsi="Times New Roman" w:eastAsia="宋体" w:cs="Times New Roman"/>
          <w:sz w:val="28"/>
          <w:szCs w:val="28"/>
          <w:lang w:val="zh-CN"/>
        </w:rPr>
        <w:t xml:space="preserve"> 日</w:t>
      </w:r>
    </w:p>
    <w:bookmarkEnd w:id="448"/>
    <w:bookmarkEnd w:id="449"/>
    <w:bookmarkEnd w:id="450"/>
    <w:bookmarkEnd w:id="451"/>
    <w:p>
      <w:pPr>
        <w:jc w:val="both"/>
        <w:rPr>
          <w:rFonts w:hint="eastAsia" w:ascii="方正小标宋简体" w:eastAsia="方正小标宋简体"/>
          <w:bCs/>
          <w:sz w:val="48"/>
          <w:szCs w:val="48"/>
        </w:rPr>
      </w:pPr>
    </w:p>
    <w:p>
      <w:pPr>
        <w:spacing w:before="600" w:beforeLines="250" w:line="480" w:lineRule="auto"/>
        <w:jc w:val="center"/>
        <w:rPr>
          <w:rFonts w:ascii="方正小标宋简体" w:eastAsia="方正小标宋简体"/>
          <w:bCs/>
          <w:sz w:val="44"/>
          <w:szCs w:val="44"/>
        </w:rPr>
      </w:pPr>
      <w:r>
        <w:rPr>
          <w:rFonts w:hint="eastAsia" w:ascii="方正小标宋简体" w:eastAsia="方正小标宋简体"/>
          <w:bCs/>
          <w:sz w:val="48"/>
          <w:szCs w:val="48"/>
        </w:rPr>
        <w:t>军队物资类项目竞争性谈判</w:t>
      </w:r>
    </w:p>
    <w:p>
      <w:pPr>
        <w:spacing w:after="480" w:afterLines="200"/>
        <w:jc w:val="center"/>
        <w:rPr>
          <w:rFonts w:ascii="方正小标宋简体" w:eastAsia="方正小标宋简体"/>
          <w:bCs/>
        </w:rPr>
      </w:pPr>
      <w:r>
        <w:rPr>
          <w:rFonts w:hint="eastAsia" w:ascii="方正小标宋简体" w:eastAsia="方正小标宋简体"/>
          <w:bCs/>
          <w:sz w:val="84"/>
          <w:szCs w:val="84"/>
        </w:rPr>
        <w:t>报 价 文 件</w:t>
      </w:r>
    </w:p>
    <w:p>
      <w:pPr>
        <w:keepNext/>
        <w:keepLines/>
        <w:spacing w:before="260" w:after="260" w:line="416" w:lineRule="auto"/>
        <w:jc w:val="center"/>
        <w:outlineLvl w:val="2"/>
        <w:rPr>
          <w:rFonts w:ascii="方正小标宋简体" w:eastAsia="方正小标宋简体"/>
          <w:bCs/>
          <w:sz w:val="52"/>
          <w:szCs w:val="52"/>
        </w:rPr>
      </w:pPr>
      <w:bookmarkStart w:id="458" w:name="_Toc132191247"/>
      <w:bookmarkStart w:id="459" w:name="_Toc19738"/>
      <w:r>
        <w:rPr>
          <w:rFonts w:hint="eastAsia" w:ascii="方正小标宋简体" w:eastAsia="方正小标宋简体"/>
          <w:bCs/>
          <w:sz w:val="52"/>
          <w:szCs w:val="52"/>
        </w:rPr>
        <w:t>二、商务技术文件</w:t>
      </w:r>
      <w:bookmarkEnd w:id="458"/>
      <w:bookmarkEnd w:id="459"/>
    </w:p>
    <w:p>
      <w:pPr>
        <w:adjustRightInd w:val="0"/>
        <w:snapToGrid w:val="0"/>
        <w:spacing w:line="360" w:lineRule="auto"/>
        <w:rPr>
          <w:rFonts w:ascii="方正小标宋简体" w:hAnsi="黑体" w:eastAsia="方正小标宋简体"/>
          <w:bCs/>
          <w:sz w:val="32"/>
          <w:szCs w:val="32"/>
        </w:rPr>
      </w:pP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项目名称：</w:t>
      </w:r>
      <w:r>
        <w:rPr>
          <w:rFonts w:hint="eastAsia" w:ascii="方正小标宋简体" w:eastAsia="方正小标宋简体"/>
          <w:bCs/>
          <w:sz w:val="36"/>
          <w:szCs w:val="36"/>
          <w:u w:val="single"/>
        </w:rPr>
        <w:t xml:space="preserve">                </w:t>
      </w: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项目编号：</w:t>
      </w:r>
      <w:r>
        <w:rPr>
          <w:rFonts w:hint="eastAsia" w:ascii="方正小标宋简体" w:eastAsia="方正小标宋简体"/>
          <w:bCs/>
          <w:sz w:val="36"/>
          <w:szCs w:val="36"/>
          <w:u w:val="single"/>
        </w:rPr>
        <w:t xml:space="preserve">                </w:t>
      </w: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 xml:space="preserve">包 </w:t>
      </w:r>
      <w:r>
        <w:rPr>
          <w:rFonts w:ascii="方正小标宋简体" w:eastAsia="方正小标宋简体"/>
          <w:bCs/>
          <w:sz w:val="36"/>
          <w:szCs w:val="36"/>
        </w:rPr>
        <w:t xml:space="preserve">   </w:t>
      </w:r>
      <w:r>
        <w:rPr>
          <w:rFonts w:hint="eastAsia" w:ascii="方正小标宋简体" w:eastAsia="方正小标宋简体"/>
          <w:bCs/>
          <w:sz w:val="36"/>
          <w:szCs w:val="36"/>
        </w:rPr>
        <w:t>号：</w:t>
      </w:r>
      <w:r>
        <w:rPr>
          <w:rFonts w:hint="eastAsia" w:ascii="方正小标宋简体" w:eastAsia="方正小标宋简体"/>
          <w:bCs/>
          <w:sz w:val="36"/>
          <w:szCs w:val="36"/>
          <w:u w:val="single"/>
        </w:rPr>
        <w:t xml:space="preserve">                </w:t>
      </w: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ind w:firstLine="720" w:firstLineChars="200"/>
        <w:jc w:val="center"/>
        <w:rPr>
          <w:rFonts w:ascii="方正小标宋简体" w:eastAsia="方正小标宋简体"/>
          <w:bCs/>
          <w:sz w:val="36"/>
          <w:szCs w:val="36"/>
        </w:rPr>
      </w:pPr>
      <w:r>
        <w:rPr>
          <w:rFonts w:hint="eastAsia" w:ascii="方正小标宋简体" w:eastAsia="方正小标宋简体"/>
          <w:bCs/>
          <w:sz w:val="36"/>
          <w:szCs w:val="36"/>
        </w:rPr>
        <w:t>报价供应商：</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（盖章）</w:t>
      </w:r>
    </w:p>
    <w:p>
      <w:pPr>
        <w:spacing w:before="240" w:beforeLines="100"/>
        <w:jc w:val="center"/>
        <w:rPr>
          <w:rFonts w:ascii="方正小标宋简体" w:hAnsi="宋体" w:eastAsia="方正小标宋简体"/>
          <w:bCs/>
        </w:rPr>
      </w:pP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年</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月</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日</w:t>
      </w:r>
    </w:p>
    <w:p>
      <w:pPr>
        <w:spacing w:before="240" w:beforeLines="100"/>
        <w:jc w:val="center"/>
        <w:rPr>
          <w:rFonts w:ascii="方正小标宋简体" w:eastAsia="方正小标宋简体"/>
          <w:bCs/>
          <w:sz w:val="36"/>
          <w:szCs w:val="36"/>
        </w:rPr>
      </w:pPr>
    </w:p>
    <w:p>
      <w:pPr>
        <w:rPr>
          <w:rFonts w:hint="eastAsia"/>
          <w:b w:val="0"/>
        </w:rPr>
      </w:pPr>
      <w:bookmarkStart w:id="460" w:name="_Toc112768462"/>
      <w:bookmarkStart w:id="461" w:name="_Toc31275"/>
      <w:bookmarkStart w:id="462" w:name="_Toc5425"/>
      <w:bookmarkStart w:id="463" w:name="_Toc13416"/>
      <w:bookmarkStart w:id="464" w:name="_Toc19489"/>
      <w:bookmarkStart w:id="465" w:name="_Toc32262"/>
      <w:r>
        <w:rPr>
          <w:rFonts w:hint="eastAsia"/>
          <w:b w:val="0"/>
        </w:rPr>
        <w:br w:type="page"/>
      </w:r>
    </w:p>
    <w:p>
      <w:pPr>
        <w:pStyle w:val="6"/>
        <w:spacing w:before="120" w:beforeLines="50" w:after="120" w:afterLines="50" w:line="560" w:lineRule="exact"/>
        <w:rPr>
          <w:b w:val="0"/>
          <w:lang w:val="zh-CN"/>
        </w:rPr>
      </w:pPr>
      <w:r>
        <w:rPr>
          <w:rFonts w:hint="eastAsia"/>
          <w:b w:val="0"/>
        </w:rPr>
        <w:t>附件</w:t>
      </w:r>
      <w:r>
        <w:rPr>
          <w:b w:val="0"/>
        </w:rPr>
        <w:t xml:space="preserve">2-1 </w:t>
      </w:r>
      <w:r>
        <w:rPr>
          <w:rFonts w:hint="eastAsia"/>
          <w:b w:val="0"/>
        </w:rPr>
        <w:t>符合性审查索引表</w:t>
      </w:r>
      <w:bookmarkEnd w:id="460"/>
      <w:bookmarkEnd w:id="461"/>
      <w:bookmarkEnd w:id="462"/>
      <w:bookmarkEnd w:id="463"/>
      <w:bookmarkEnd w:id="464"/>
      <w:bookmarkEnd w:id="465"/>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符合性审查索引表</w:t>
      </w:r>
    </w:p>
    <w:p>
      <w:pPr>
        <w:spacing w:line="400" w:lineRule="exact"/>
        <w:rPr>
          <w:rFonts w:ascii="黑体" w:hAnsi="黑体" w:eastAsia="黑体"/>
          <w:bCs/>
          <w:sz w:val="28"/>
          <w:szCs w:val="28"/>
        </w:rPr>
      </w:pPr>
      <w:r>
        <w:rPr>
          <w:rFonts w:hint="eastAsia" w:ascii="黑体" w:hAnsi="黑体" w:eastAsia="黑体"/>
          <w:bCs/>
          <w:sz w:val="28"/>
          <w:szCs w:val="28"/>
        </w:rPr>
        <w:t>报价供应商务必在商务技术文件正文前制作本索引表。</w:t>
      </w:r>
    </w:p>
    <w:tbl>
      <w:tblPr>
        <w:tblStyle w:val="44"/>
        <w:tblW w:w="5000" w:type="pct"/>
        <w:jc w:val="center"/>
        <w:tblLayout w:type="autofit"/>
        <w:tblCellMar>
          <w:top w:w="0" w:type="dxa"/>
          <w:left w:w="108" w:type="dxa"/>
          <w:bottom w:w="0" w:type="dxa"/>
          <w:right w:w="108" w:type="dxa"/>
        </w:tblCellMar>
      </w:tblPr>
      <w:tblGrid>
        <w:gridCol w:w="959"/>
        <w:gridCol w:w="5386"/>
        <w:gridCol w:w="3225"/>
      </w:tblGrid>
      <w:tr>
        <w:tblPrEx>
          <w:tblCellMar>
            <w:top w:w="0" w:type="dxa"/>
            <w:left w:w="108" w:type="dxa"/>
            <w:bottom w:w="0" w:type="dxa"/>
            <w:right w:w="108" w:type="dxa"/>
          </w:tblCellMar>
        </w:tblPrEx>
        <w:trPr>
          <w:trHeight w:val="549" w:hRule="atLeast"/>
          <w:jc w:val="center"/>
        </w:trPr>
        <w:tc>
          <w:tcPr>
            <w:tcW w:w="501" w:type="pct"/>
            <w:vMerge w:val="restart"/>
            <w:tcBorders>
              <w:top w:val="single" w:color="auto" w:sz="4" w:space="0"/>
              <w:left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序号</w:t>
            </w:r>
          </w:p>
        </w:tc>
        <w:tc>
          <w:tcPr>
            <w:tcW w:w="2814" w:type="pct"/>
            <w:vMerge w:val="restart"/>
            <w:tcBorders>
              <w:top w:val="single" w:color="auto" w:sz="4" w:space="0"/>
              <w:left w:val="nil"/>
              <w:right w:val="single" w:color="auto" w:sz="4" w:space="0"/>
            </w:tcBorders>
            <w:vAlign w:val="center"/>
          </w:tcPr>
          <w:p>
            <w:pPr>
              <w:jc w:val="center"/>
              <w:rPr>
                <w:rFonts w:ascii="宋体" w:hAnsi="宋体" w:cs="宋体"/>
                <w:bCs/>
                <w:sz w:val="24"/>
              </w:rPr>
            </w:pPr>
            <w:r>
              <w:rPr>
                <w:rFonts w:hint="eastAsia" w:ascii="宋体" w:hAnsi="宋体" w:cs="宋体"/>
                <w:bCs/>
                <w:sz w:val="24"/>
              </w:rPr>
              <w:t>符合性审查项目</w:t>
            </w:r>
          </w:p>
        </w:tc>
        <w:tc>
          <w:tcPr>
            <w:tcW w:w="1685" w:type="pct"/>
            <w:vMerge w:val="restart"/>
            <w:tcBorders>
              <w:top w:val="single" w:color="auto" w:sz="4" w:space="0"/>
              <w:left w:val="nil"/>
              <w:right w:val="single" w:color="auto" w:sz="4" w:space="0"/>
            </w:tcBorders>
            <w:vAlign w:val="center"/>
          </w:tcPr>
          <w:p>
            <w:pPr>
              <w:jc w:val="center"/>
              <w:rPr>
                <w:rFonts w:ascii="宋体" w:hAnsi="宋体" w:cs="宋体"/>
                <w:bCs/>
                <w:sz w:val="24"/>
              </w:rPr>
            </w:pPr>
            <w:r>
              <w:rPr>
                <w:rFonts w:hint="eastAsia" w:ascii="宋体" w:hAnsi="宋体" w:cs="宋体"/>
                <w:bCs/>
                <w:sz w:val="24"/>
              </w:rPr>
              <w:t>文件名称</w:t>
            </w:r>
            <w:r>
              <w:rPr>
                <w:rFonts w:hint="eastAsia" w:ascii="宋体" w:hAnsi="宋体"/>
                <w:bCs/>
                <w:sz w:val="24"/>
              </w:rPr>
              <w:t>∕</w:t>
            </w:r>
            <w:r>
              <w:rPr>
                <w:rFonts w:hint="eastAsia" w:ascii="宋体" w:hAnsi="宋体" w:cs="宋体"/>
                <w:bCs/>
                <w:sz w:val="24"/>
              </w:rPr>
              <w:t>页码</w:t>
            </w:r>
          </w:p>
        </w:tc>
      </w:tr>
      <w:tr>
        <w:tblPrEx>
          <w:tblCellMar>
            <w:top w:w="0" w:type="dxa"/>
            <w:left w:w="108" w:type="dxa"/>
            <w:bottom w:w="0" w:type="dxa"/>
            <w:right w:w="108" w:type="dxa"/>
          </w:tblCellMar>
        </w:tblPrEx>
        <w:trPr>
          <w:trHeight w:val="311" w:hRule="atLeast"/>
          <w:jc w:val="center"/>
        </w:trPr>
        <w:tc>
          <w:tcPr>
            <w:tcW w:w="501" w:type="pct"/>
            <w:vMerge w:val="continue"/>
            <w:tcBorders>
              <w:left w:val="single" w:color="auto" w:sz="4" w:space="0"/>
              <w:bottom w:val="single" w:color="auto" w:sz="4" w:space="0"/>
              <w:right w:val="single" w:color="auto" w:sz="4" w:space="0"/>
            </w:tcBorders>
            <w:vAlign w:val="center"/>
          </w:tcPr>
          <w:p>
            <w:pPr>
              <w:jc w:val="center"/>
              <w:rPr>
                <w:rFonts w:ascii="宋体" w:hAnsi="宋体" w:cs="宋体"/>
                <w:bCs/>
                <w:sz w:val="24"/>
              </w:rPr>
            </w:pPr>
          </w:p>
        </w:tc>
        <w:tc>
          <w:tcPr>
            <w:tcW w:w="2814" w:type="pct"/>
            <w:vMerge w:val="continue"/>
            <w:tcBorders>
              <w:left w:val="nil"/>
              <w:bottom w:val="single" w:color="auto" w:sz="4" w:space="0"/>
              <w:right w:val="single" w:color="auto" w:sz="4" w:space="0"/>
            </w:tcBorders>
            <w:vAlign w:val="center"/>
          </w:tcPr>
          <w:p>
            <w:pPr>
              <w:jc w:val="center"/>
              <w:rPr>
                <w:rFonts w:ascii="宋体" w:hAnsi="宋体" w:cs="宋体"/>
                <w:bCs/>
                <w:sz w:val="24"/>
              </w:rPr>
            </w:pPr>
          </w:p>
        </w:tc>
        <w:tc>
          <w:tcPr>
            <w:tcW w:w="1685" w:type="pct"/>
            <w:vMerge w:val="continue"/>
            <w:tcBorders>
              <w:left w:val="nil"/>
              <w:bottom w:val="single" w:color="auto" w:sz="4" w:space="0"/>
              <w:right w:val="single" w:color="auto" w:sz="4" w:space="0"/>
            </w:tcBorders>
            <w:vAlign w:val="center"/>
          </w:tcPr>
          <w:p>
            <w:pPr>
              <w:jc w:val="center"/>
              <w:rPr>
                <w:rFonts w:ascii="宋体" w:hAnsi="宋体" w:cs="宋体"/>
                <w:bCs/>
                <w:sz w:val="24"/>
              </w:rPr>
            </w:pPr>
          </w:p>
        </w:tc>
      </w:tr>
      <w:tr>
        <w:tblPrEx>
          <w:tblCellMar>
            <w:top w:w="0" w:type="dxa"/>
            <w:left w:w="108" w:type="dxa"/>
            <w:bottom w:w="0" w:type="dxa"/>
            <w:right w:w="108" w:type="dxa"/>
          </w:tblCellMar>
        </w:tblPrEx>
        <w:trPr>
          <w:trHeight w:val="836" w:hRule="exact"/>
          <w:jc w:val="center"/>
        </w:trPr>
        <w:tc>
          <w:tcPr>
            <w:tcW w:w="501" w:type="pct"/>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1</w:t>
            </w:r>
          </w:p>
        </w:tc>
        <w:tc>
          <w:tcPr>
            <w:tcW w:w="2814" w:type="pct"/>
            <w:tcBorders>
              <w:top w:val="nil"/>
              <w:left w:val="nil"/>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1685"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501" w:type="pct"/>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2</w:t>
            </w:r>
          </w:p>
        </w:tc>
        <w:tc>
          <w:tcPr>
            <w:tcW w:w="2814" w:type="pct"/>
            <w:tcBorders>
              <w:top w:val="nil"/>
              <w:left w:val="nil"/>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1685"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501" w:type="pct"/>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3</w:t>
            </w:r>
          </w:p>
        </w:tc>
        <w:tc>
          <w:tcPr>
            <w:tcW w:w="2814" w:type="pct"/>
            <w:tcBorders>
              <w:top w:val="nil"/>
              <w:left w:val="nil"/>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1685"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501" w:type="pct"/>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4</w:t>
            </w:r>
          </w:p>
        </w:tc>
        <w:tc>
          <w:tcPr>
            <w:tcW w:w="2814" w:type="pct"/>
            <w:tcBorders>
              <w:top w:val="nil"/>
              <w:left w:val="nil"/>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1685" w:type="pct"/>
            <w:tcBorders>
              <w:top w:val="nil"/>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836" w:hRule="exact"/>
          <w:jc w:val="center"/>
        </w:trPr>
        <w:tc>
          <w:tcPr>
            <w:tcW w:w="501" w:type="pc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w:t>
            </w:r>
          </w:p>
        </w:tc>
        <w:tc>
          <w:tcPr>
            <w:tcW w:w="2814" w:type="pct"/>
            <w:tcBorders>
              <w:top w:val="single" w:color="auto" w:sz="4" w:space="0"/>
              <w:left w:val="nil"/>
              <w:bottom w:val="single" w:color="auto" w:sz="4" w:space="0"/>
              <w:right w:val="single" w:color="auto" w:sz="4" w:space="0"/>
            </w:tcBorders>
            <w:vAlign w:val="center"/>
          </w:tcPr>
          <w:p>
            <w:pPr>
              <w:jc w:val="center"/>
              <w:rPr>
                <w:bCs/>
                <w:sz w:val="24"/>
              </w:rPr>
            </w:pPr>
          </w:p>
        </w:tc>
        <w:tc>
          <w:tcPr>
            <w:tcW w:w="1685" w:type="pct"/>
            <w:tcBorders>
              <w:top w:val="single" w:color="auto" w:sz="4" w:space="0"/>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501"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2814" w:type="pct"/>
            <w:tcBorders>
              <w:top w:val="single" w:color="auto" w:sz="4" w:space="0"/>
              <w:left w:val="nil"/>
              <w:bottom w:val="single" w:color="auto" w:sz="4" w:space="0"/>
              <w:right w:val="single" w:color="auto" w:sz="4" w:space="0"/>
            </w:tcBorders>
            <w:vAlign w:val="center"/>
          </w:tcPr>
          <w:p>
            <w:pPr>
              <w:jc w:val="center"/>
              <w:rPr>
                <w:bCs/>
                <w:sz w:val="24"/>
              </w:rPr>
            </w:pPr>
          </w:p>
        </w:tc>
        <w:tc>
          <w:tcPr>
            <w:tcW w:w="1685" w:type="pct"/>
            <w:tcBorders>
              <w:top w:val="single" w:color="auto" w:sz="4" w:space="0"/>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501"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2814"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685" w:type="pct"/>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501"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2814"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685"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1596" w:hRule="exact"/>
          <w:jc w:val="center"/>
        </w:trPr>
        <w:tc>
          <w:tcPr>
            <w:tcW w:w="5000" w:type="pct"/>
            <w:gridSpan w:val="3"/>
            <w:tcBorders>
              <w:top w:val="single" w:color="auto" w:sz="4" w:space="0"/>
              <w:left w:val="single" w:color="auto" w:sz="4" w:space="0"/>
              <w:bottom w:val="single" w:color="auto" w:sz="4" w:space="0"/>
              <w:right w:val="single" w:color="auto" w:sz="4" w:space="0"/>
            </w:tcBorders>
            <w:vAlign w:val="center"/>
          </w:tcPr>
          <w:p>
            <w:pPr>
              <w:spacing w:line="276" w:lineRule="auto"/>
              <w:jc w:val="left"/>
              <w:rPr>
                <w:bCs/>
                <w:sz w:val="24"/>
              </w:rPr>
            </w:pPr>
            <w:r>
              <w:rPr>
                <w:rFonts w:hint="eastAsia"/>
                <w:bCs/>
                <w:sz w:val="24"/>
              </w:rPr>
              <w:t>备注：报价供应商按照《符合性审查表》编制此表。报价供应商应当根据本单位实际情况和报价文件内容填写，并标注相关证明材料在报价文件的位置页码。“报价文件签字、盖章齐全完整”等无法填写具体页码的符合性审查项目，可以不填写。报价供应商不得虚报、瞒报、漏报或虚假承诺。</w:t>
            </w:r>
          </w:p>
        </w:tc>
      </w:tr>
    </w:tbl>
    <w:p>
      <w:pPr>
        <w:rPr>
          <w:bCs/>
          <w:sz w:val="28"/>
          <w:szCs w:val="28"/>
          <w:lang w:val="zh-CN"/>
        </w:rPr>
      </w:pPr>
    </w:p>
    <w:p>
      <w:pPr>
        <w:rPr>
          <w:rFonts w:eastAsia="黑体"/>
          <w:bCs/>
          <w:sz w:val="28"/>
          <w:szCs w:val="28"/>
        </w:rPr>
      </w:pPr>
    </w:p>
    <w:p>
      <w:pPr>
        <w:rPr>
          <w:rFonts w:eastAsia="黑体"/>
          <w:bCs/>
          <w:sz w:val="28"/>
          <w:szCs w:val="28"/>
        </w:rPr>
      </w:pPr>
    </w:p>
    <w:p>
      <w:pPr>
        <w:widowControl/>
        <w:ind w:firstLine="560" w:firstLineChars="200"/>
        <w:jc w:val="left"/>
        <w:rPr>
          <w:rFonts w:eastAsia="黑体"/>
          <w:bCs/>
          <w:sz w:val="28"/>
          <w:szCs w:val="28"/>
        </w:rPr>
      </w:pPr>
      <w:r>
        <w:rPr>
          <w:rFonts w:eastAsia="黑体"/>
          <w:bCs/>
          <w:sz w:val="28"/>
          <w:szCs w:val="28"/>
        </w:rPr>
        <w:br w:type="page"/>
      </w:r>
    </w:p>
    <w:p>
      <w:pPr>
        <w:pStyle w:val="6"/>
        <w:spacing w:before="120" w:beforeLines="50" w:after="120" w:afterLines="50" w:line="560" w:lineRule="exact"/>
        <w:rPr>
          <w:b w:val="0"/>
          <w:lang w:val="zh-CN"/>
        </w:rPr>
      </w:pPr>
      <w:bookmarkStart w:id="466" w:name="_Toc2075"/>
      <w:bookmarkStart w:id="467" w:name="_Toc10861"/>
      <w:bookmarkStart w:id="468" w:name="_Toc27768"/>
      <w:bookmarkStart w:id="469" w:name="_Toc23681"/>
      <w:bookmarkStart w:id="470" w:name="_Toc19071"/>
      <w:bookmarkStart w:id="471" w:name="_Toc112768463"/>
      <w:r>
        <w:rPr>
          <w:rFonts w:hint="eastAsia"/>
          <w:b w:val="0"/>
        </w:rPr>
        <w:t>附件</w:t>
      </w:r>
      <w:r>
        <w:rPr>
          <w:b w:val="0"/>
        </w:rPr>
        <w:t xml:space="preserve">2-2 </w:t>
      </w:r>
      <w:r>
        <w:rPr>
          <w:rFonts w:hint="eastAsia"/>
          <w:b w:val="0"/>
        </w:rPr>
        <w:t>商务评审索引表</w:t>
      </w:r>
      <w:bookmarkEnd w:id="466"/>
      <w:bookmarkEnd w:id="467"/>
      <w:bookmarkEnd w:id="468"/>
      <w:bookmarkEnd w:id="469"/>
      <w:bookmarkEnd w:id="470"/>
      <w:bookmarkEnd w:id="471"/>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商务评审索引表</w:t>
      </w:r>
    </w:p>
    <w:p>
      <w:pPr>
        <w:spacing w:line="400" w:lineRule="exact"/>
        <w:rPr>
          <w:rFonts w:ascii="黑体" w:hAnsi="黑体" w:eastAsia="黑体"/>
          <w:bCs/>
          <w:sz w:val="28"/>
          <w:szCs w:val="28"/>
        </w:rPr>
      </w:pPr>
      <w:r>
        <w:rPr>
          <w:rFonts w:hint="eastAsia" w:ascii="黑体" w:hAnsi="黑体" w:eastAsia="黑体"/>
          <w:bCs/>
          <w:sz w:val="28"/>
          <w:szCs w:val="28"/>
        </w:rPr>
        <w:t>报价供应商务必在商务技术文件正文前制作本索引表。</w:t>
      </w:r>
    </w:p>
    <w:tbl>
      <w:tblPr>
        <w:tblStyle w:val="44"/>
        <w:tblW w:w="5000" w:type="pct"/>
        <w:jc w:val="center"/>
        <w:tblLayout w:type="autofit"/>
        <w:tblCellMar>
          <w:top w:w="0" w:type="dxa"/>
          <w:left w:w="108" w:type="dxa"/>
          <w:bottom w:w="0" w:type="dxa"/>
          <w:right w:w="108" w:type="dxa"/>
        </w:tblCellMar>
      </w:tblPr>
      <w:tblGrid>
        <w:gridCol w:w="815"/>
        <w:gridCol w:w="1631"/>
        <w:gridCol w:w="1880"/>
        <w:gridCol w:w="1309"/>
        <w:gridCol w:w="1987"/>
        <w:gridCol w:w="1948"/>
      </w:tblGrid>
      <w:tr>
        <w:tblPrEx>
          <w:tblCellMar>
            <w:top w:w="0" w:type="dxa"/>
            <w:left w:w="108" w:type="dxa"/>
            <w:bottom w:w="0" w:type="dxa"/>
            <w:right w:w="108" w:type="dxa"/>
          </w:tblCellMar>
        </w:tblPrEx>
        <w:trPr>
          <w:trHeight w:val="680" w:hRule="atLeast"/>
          <w:jc w:val="center"/>
        </w:trPr>
        <w:tc>
          <w:tcPr>
            <w:tcW w:w="426"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序号</w:t>
            </w:r>
          </w:p>
        </w:tc>
        <w:tc>
          <w:tcPr>
            <w:tcW w:w="852" w:type="pct"/>
            <w:vMerge w:val="restart"/>
            <w:tcBorders>
              <w:top w:val="single" w:color="auto" w:sz="4" w:space="0"/>
              <w:left w:val="nil"/>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评审项目</w:t>
            </w:r>
          </w:p>
        </w:tc>
        <w:tc>
          <w:tcPr>
            <w:tcW w:w="982" w:type="pct"/>
            <w:vMerge w:val="restart"/>
            <w:tcBorders>
              <w:top w:val="single" w:color="auto" w:sz="4" w:space="0"/>
              <w:left w:val="nil"/>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计分模型</w:t>
            </w:r>
          </w:p>
        </w:tc>
        <w:tc>
          <w:tcPr>
            <w:tcW w:w="684" w:type="pct"/>
            <w:vMerge w:val="restart"/>
            <w:tcBorders>
              <w:top w:val="single" w:color="auto" w:sz="4" w:space="0"/>
              <w:left w:val="nil"/>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标准分值</w:t>
            </w:r>
          </w:p>
        </w:tc>
        <w:tc>
          <w:tcPr>
            <w:tcW w:w="2056" w:type="pct"/>
            <w:gridSpan w:val="2"/>
            <w:tcBorders>
              <w:top w:val="single" w:color="auto" w:sz="4" w:space="0"/>
              <w:left w:val="nil"/>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报价供应商填写</w:t>
            </w:r>
          </w:p>
        </w:tc>
      </w:tr>
      <w:tr>
        <w:tblPrEx>
          <w:tblCellMar>
            <w:top w:w="0" w:type="dxa"/>
            <w:left w:w="108" w:type="dxa"/>
            <w:bottom w:w="0" w:type="dxa"/>
            <w:right w:w="108" w:type="dxa"/>
          </w:tblCellMar>
        </w:tblPrEx>
        <w:trPr>
          <w:trHeight w:val="680" w:hRule="atLeast"/>
          <w:jc w:val="center"/>
        </w:trPr>
        <w:tc>
          <w:tcPr>
            <w:tcW w:w="426"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p>
        </w:tc>
        <w:tc>
          <w:tcPr>
            <w:tcW w:w="852" w:type="pct"/>
            <w:vMerge w:val="continue"/>
            <w:tcBorders>
              <w:top w:val="single" w:color="auto" w:sz="4" w:space="0"/>
              <w:left w:val="nil"/>
              <w:bottom w:val="single" w:color="auto" w:sz="4" w:space="0"/>
              <w:right w:val="single" w:color="auto" w:sz="4" w:space="0"/>
            </w:tcBorders>
            <w:vAlign w:val="center"/>
          </w:tcPr>
          <w:p>
            <w:pPr>
              <w:jc w:val="center"/>
              <w:rPr>
                <w:rFonts w:ascii="宋体" w:hAnsi="宋体" w:cs="宋体"/>
                <w:bCs/>
                <w:sz w:val="24"/>
              </w:rPr>
            </w:pPr>
          </w:p>
        </w:tc>
        <w:tc>
          <w:tcPr>
            <w:tcW w:w="982" w:type="pct"/>
            <w:vMerge w:val="continue"/>
            <w:tcBorders>
              <w:top w:val="single" w:color="auto" w:sz="4" w:space="0"/>
              <w:left w:val="nil"/>
              <w:bottom w:val="single" w:color="auto" w:sz="4" w:space="0"/>
              <w:right w:val="single" w:color="auto" w:sz="4" w:space="0"/>
            </w:tcBorders>
            <w:vAlign w:val="center"/>
          </w:tcPr>
          <w:p>
            <w:pPr>
              <w:jc w:val="center"/>
              <w:rPr>
                <w:rFonts w:ascii="宋体" w:hAnsi="宋体" w:cs="宋体"/>
                <w:bCs/>
                <w:sz w:val="24"/>
              </w:rPr>
            </w:pPr>
          </w:p>
        </w:tc>
        <w:tc>
          <w:tcPr>
            <w:tcW w:w="684" w:type="pct"/>
            <w:vMerge w:val="continue"/>
            <w:tcBorders>
              <w:top w:val="single" w:color="auto" w:sz="4" w:space="0"/>
              <w:left w:val="nil"/>
              <w:bottom w:val="single" w:color="auto" w:sz="4" w:space="0"/>
              <w:right w:val="single" w:color="auto" w:sz="4" w:space="0"/>
            </w:tcBorders>
            <w:vAlign w:val="center"/>
          </w:tcPr>
          <w:p>
            <w:pPr>
              <w:jc w:val="center"/>
              <w:rPr>
                <w:rFonts w:ascii="宋体" w:hAnsi="宋体" w:cs="宋体"/>
                <w:bCs/>
                <w:sz w:val="24"/>
              </w:rPr>
            </w:pPr>
          </w:p>
        </w:tc>
        <w:tc>
          <w:tcPr>
            <w:tcW w:w="1038" w:type="pct"/>
            <w:tcBorders>
              <w:top w:val="single" w:color="auto" w:sz="4" w:space="0"/>
              <w:left w:val="nil"/>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指标值或评分项</w:t>
            </w:r>
          </w:p>
        </w:tc>
        <w:tc>
          <w:tcPr>
            <w:tcW w:w="1018" w:type="pct"/>
            <w:tcBorders>
              <w:top w:val="single" w:color="auto" w:sz="4" w:space="0"/>
              <w:left w:val="nil"/>
              <w:bottom w:val="single" w:color="auto" w:sz="4" w:space="0"/>
              <w:right w:val="single" w:color="auto" w:sz="4" w:space="0"/>
            </w:tcBorders>
            <w:vAlign w:val="center"/>
          </w:tcPr>
          <w:p>
            <w:pPr>
              <w:jc w:val="center"/>
              <w:rPr>
                <w:rFonts w:ascii="宋体" w:hAnsi="宋体" w:cs="宋体"/>
                <w:bCs/>
                <w:sz w:val="24"/>
              </w:rPr>
            </w:pPr>
            <w:r>
              <w:rPr>
                <w:rFonts w:hint="eastAsia"/>
                <w:bCs/>
                <w:sz w:val="24"/>
              </w:rPr>
              <w:t>文件名称∕页码</w:t>
            </w:r>
          </w:p>
        </w:tc>
      </w:tr>
      <w:tr>
        <w:tblPrEx>
          <w:tblCellMar>
            <w:top w:w="0" w:type="dxa"/>
            <w:left w:w="108" w:type="dxa"/>
            <w:bottom w:w="0" w:type="dxa"/>
            <w:right w:w="108" w:type="dxa"/>
          </w:tblCellMar>
        </w:tblPrEx>
        <w:trPr>
          <w:trHeight w:val="680" w:hRule="atLeast"/>
          <w:jc w:val="center"/>
        </w:trPr>
        <w:tc>
          <w:tcPr>
            <w:tcW w:w="426" w:type="pct"/>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852" w:type="pct"/>
            <w:tcBorders>
              <w:top w:val="nil"/>
              <w:left w:val="nil"/>
              <w:bottom w:val="single" w:color="auto" w:sz="4" w:space="0"/>
              <w:right w:val="single" w:color="auto" w:sz="4" w:space="0"/>
            </w:tcBorders>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合</w:t>
            </w:r>
            <w:r>
              <w:rPr>
                <w:rFonts w:asciiTheme="minorEastAsia" w:hAnsiTheme="minorEastAsia" w:eastAsiaTheme="minorEastAsia"/>
                <w:bCs/>
                <w:sz w:val="24"/>
              </w:rPr>
              <w:t xml:space="preserve">  </w:t>
            </w:r>
            <w:r>
              <w:rPr>
                <w:rFonts w:hint="eastAsia" w:asciiTheme="minorEastAsia" w:hAnsiTheme="minorEastAsia" w:eastAsiaTheme="minorEastAsia"/>
                <w:bCs/>
                <w:sz w:val="24"/>
              </w:rPr>
              <w:t>计</w:t>
            </w:r>
          </w:p>
        </w:tc>
        <w:tc>
          <w:tcPr>
            <w:tcW w:w="982" w:type="pct"/>
            <w:tcBorders>
              <w:top w:val="nil"/>
              <w:left w:val="nil"/>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684" w:type="pct"/>
            <w:tcBorders>
              <w:top w:val="nil"/>
              <w:left w:val="nil"/>
              <w:bottom w:val="single" w:color="auto" w:sz="4" w:space="0"/>
              <w:right w:val="single" w:color="auto" w:sz="4" w:space="0"/>
            </w:tcBorders>
            <w:vAlign w:val="center"/>
          </w:tcPr>
          <w:p>
            <w:pPr>
              <w:jc w:val="center"/>
              <w:rPr>
                <w:bCs/>
                <w:sz w:val="24"/>
              </w:rPr>
            </w:pPr>
          </w:p>
        </w:tc>
        <w:tc>
          <w:tcPr>
            <w:tcW w:w="1038" w:type="pct"/>
            <w:tcBorders>
              <w:top w:val="single" w:color="auto" w:sz="4" w:space="0"/>
              <w:left w:val="nil"/>
              <w:bottom w:val="single" w:color="auto" w:sz="4" w:space="0"/>
              <w:right w:val="single" w:color="auto" w:sz="4" w:space="0"/>
            </w:tcBorders>
            <w:vAlign w:val="center"/>
          </w:tcPr>
          <w:p>
            <w:pPr>
              <w:jc w:val="center"/>
              <w:rPr>
                <w:bCs/>
                <w:sz w:val="24"/>
              </w:rPr>
            </w:pPr>
          </w:p>
        </w:tc>
        <w:tc>
          <w:tcPr>
            <w:tcW w:w="1018"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26" w:type="pct"/>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一</w:t>
            </w:r>
          </w:p>
        </w:tc>
        <w:tc>
          <w:tcPr>
            <w:tcW w:w="852" w:type="pct"/>
            <w:tcBorders>
              <w:top w:val="nil"/>
              <w:left w:val="nil"/>
              <w:bottom w:val="single" w:color="auto" w:sz="4" w:space="0"/>
              <w:right w:val="single" w:color="auto" w:sz="4" w:space="0"/>
            </w:tcBorders>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项目1</w:t>
            </w:r>
          </w:p>
        </w:tc>
        <w:tc>
          <w:tcPr>
            <w:tcW w:w="982" w:type="pct"/>
            <w:tcBorders>
              <w:top w:val="nil"/>
              <w:left w:val="nil"/>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 xml:space="preserve"> </w:t>
            </w:r>
          </w:p>
        </w:tc>
        <w:tc>
          <w:tcPr>
            <w:tcW w:w="684"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c>
          <w:tcPr>
            <w:tcW w:w="1038" w:type="pct"/>
            <w:tcBorders>
              <w:top w:val="single" w:color="auto" w:sz="4" w:space="0"/>
              <w:left w:val="nil"/>
              <w:bottom w:val="single" w:color="auto" w:sz="4" w:space="0"/>
              <w:right w:val="single" w:color="auto" w:sz="4" w:space="0"/>
            </w:tcBorders>
            <w:vAlign w:val="center"/>
          </w:tcPr>
          <w:p>
            <w:pPr>
              <w:jc w:val="center"/>
              <w:rPr>
                <w:bCs/>
                <w:sz w:val="24"/>
              </w:rPr>
            </w:pPr>
          </w:p>
        </w:tc>
        <w:tc>
          <w:tcPr>
            <w:tcW w:w="1018"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26" w:type="pct"/>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1</w:t>
            </w:r>
          </w:p>
        </w:tc>
        <w:tc>
          <w:tcPr>
            <w:tcW w:w="852" w:type="pct"/>
            <w:tcBorders>
              <w:top w:val="nil"/>
              <w:left w:val="nil"/>
              <w:bottom w:val="single" w:color="auto" w:sz="4" w:space="0"/>
              <w:right w:val="single" w:color="auto" w:sz="4" w:space="0"/>
            </w:tcBorders>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指标1</w:t>
            </w:r>
          </w:p>
        </w:tc>
        <w:tc>
          <w:tcPr>
            <w:tcW w:w="982" w:type="pct"/>
            <w:tcBorders>
              <w:top w:val="nil"/>
              <w:left w:val="nil"/>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 xml:space="preserve"> </w:t>
            </w:r>
          </w:p>
        </w:tc>
        <w:tc>
          <w:tcPr>
            <w:tcW w:w="684" w:type="pct"/>
            <w:tcBorders>
              <w:top w:val="nil"/>
              <w:left w:val="nil"/>
              <w:bottom w:val="single" w:color="auto" w:sz="4" w:space="0"/>
              <w:right w:val="single" w:color="auto" w:sz="4" w:space="0"/>
            </w:tcBorders>
            <w:vAlign w:val="center"/>
          </w:tcPr>
          <w:p>
            <w:pPr>
              <w:jc w:val="center"/>
              <w:rPr>
                <w:bCs/>
                <w:sz w:val="24"/>
              </w:rPr>
            </w:pPr>
          </w:p>
        </w:tc>
        <w:tc>
          <w:tcPr>
            <w:tcW w:w="1038" w:type="pct"/>
            <w:tcBorders>
              <w:top w:val="single" w:color="auto" w:sz="4" w:space="0"/>
              <w:left w:val="nil"/>
              <w:bottom w:val="single" w:color="auto" w:sz="4" w:space="0"/>
              <w:right w:val="single" w:color="auto" w:sz="4" w:space="0"/>
            </w:tcBorders>
            <w:vAlign w:val="center"/>
          </w:tcPr>
          <w:p>
            <w:pPr>
              <w:jc w:val="center"/>
              <w:rPr>
                <w:bCs/>
                <w:sz w:val="24"/>
              </w:rPr>
            </w:pPr>
          </w:p>
        </w:tc>
        <w:tc>
          <w:tcPr>
            <w:tcW w:w="1018"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26" w:type="pct"/>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2</w:t>
            </w:r>
          </w:p>
        </w:tc>
        <w:tc>
          <w:tcPr>
            <w:tcW w:w="852" w:type="pct"/>
            <w:tcBorders>
              <w:top w:val="nil"/>
              <w:left w:val="nil"/>
              <w:bottom w:val="single" w:color="auto" w:sz="4" w:space="0"/>
              <w:right w:val="single" w:color="auto" w:sz="4" w:space="0"/>
            </w:tcBorders>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指标2</w:t>
            </w:r>
          </w:p>
        </w:tc>
        <w:tc>
          <w:tcPr>
            <w:tcW w:w="982" w:type="pct"/>
            <w:tcBorders>
              <w:top w:val="nil"/>
              <w:left w:val="nil"/>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 xml:space="preserve"> </w:t>
            </w:r>
          </w:p>
        </w:tc>
        <w:tc>
          <w:tcPr>
            <w:tcW w:w="684" w:type="pct"/>
            <w:tcBorders>
              <w:top w:val="nil"/>
              <w:left w:val="nil"/>
              <w:bottom w:val="single" w:color="auto" w:sz="4" w:space="0"/>
              <w:right w:val="single" w:color="auto" w:sz="4" w:space="0"/>
            </w:tcBorders>
            <w:vAlign w:val="center"/>
          </w:tcPr>
          <w:p>
            <w:pPr>
              <w:jc w:val="center"/>
              <w:rPr>
                <w:bCs/>
                <w:sz w:val="24"/>
              </w:rPr>
            </w:pPr>
          </w:p>
        </w:tc>
        <w:tc>
          <w:tcPr>
            <w:tcW w:w="1038" w:type="pct"/>
            <w:tcBorders>
              <w:top w:val="single" w:color="auto" w:sz="4" w:space="0"/>
              <w:left w:val="nil"/>
              <w:bottom w:val="single" w:color="auto" w:sz="4" w:space="0"/>
              <w:right w:val="single" w:color="auto" w:sz="4" w:space="0"/>
            </w:tcBorders>
            <w:vAlign w:val="center"/>
          </w:tcPr>
          <w:p>
            <w:pPr>
              <w:jc w:val="center"/>
              <w:rPr>
                <w:bCs/>
                <w:sz w:val="24"/>
              </w:rPr>
            </w:pPr>
          </w:p>
        </w:tc>
        <w:tc>
          <w:tcPr>
            <w:tcW w:w="1018"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26" w:type="pct"/>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3</w:t>
            </w:r>
          </w:p>
        </w:tc>
        <w:tc>
          <w:tcPr>
            <w:tcW w:w="852" w:type="pct"/>
            <w:tcBorders>
              <w:top w:val="nil"/>
              <w:left w:val="nil"/>
              <w:bottom w:val="single" w:color="auto" w:sz="4" w:space="0"/>
              <w:right w:val="single" w:color="auto" w:sz="4" w:space="0"/>
            </w:tcBorders>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指标3</w:t>
            </w:r>
          </w:p>
        </w:tc>
        <w:tc>
          <w:tcPr>
            <w:tcW w:w="982" w:type="pct"/>
            <w:tcBorders>
              <w:top w:val="nil"/>
              <w:left w:val="nil"/>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 xml:space="preserve"> </w:t>
            </w:r>
          </w:p>
        </w:tc>
        <w:tc>
          <w:tcPr>
            <w:tcW w:w="684" w:type="pct"/>
            <w:tcBorders>
              <w:top w:val="nil"/>
              <w:left w:val="nil"/>
              <w:bottom w:val="single" w:color="auto" w:sz="4" w:space="0"/>
              <w:right w:val="single" w:color="auto" w:sz="4" w:space="0"/>
            </w:tcBorders>
            <w:vAlign w:val="center"/>
          </w:tcPr>
          <w:p>
            <w:pPr>
              <w:jc w:val="center"/>
              <w:rPr>
                <w:bCs/>
                <w:sz w:val="24"/>
              </w:rPr>
            </w:pPr>
          </w:p>
        </w:tc>
        <w:tc>
          <w:tcPr>
            <w:tcW w:w="1038" w:type="pct"/>
            <w:tcBorders>
              <w:top w:val="single" w:color="auto" w:sz="4" w:space="0"/>
              <w:left w:val="nil"/>
              <w:bottom w:val="single" w:color="auto" w:sz="4" w:space="0"/>
              <w:right w:val="single" w:color="auto" w:sz="4" w:space="0"/>
            </w:tcBorders>
            <w:vAlign w:val="center"/>
          </w:tcPr>
          <w:p>
            <w:pPr>
              <w:jc w:val="center"/>
              <w:rPr>
                <w:bCs/>
                <w:sz w:val="24"/>
              </w:rPr>
            </w:pPr>
          </w:p>
        </w:tc>
        <w:tc>
          <w:tcPr>
            <w:tcW w:w="1018"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26" w:type="pct"/>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 xml:space="preserve">   </w:t>
            </w:r>
          </w:p>
        </w:tc>
        <w:tc>
          <w:tcPr>
            <w:tcW w:w="852" w:type="pct"/>
            <w:tcBorders>
              <w:top w:val="nil"/>
              <w:left w:val="nil"/>
              <w:bottom w:val="single" w:color="auto" w:sz="4" w:space="0"/>
              <w:right w:val="single" w:color="auto" w:sz="4" w:space="0"/>
            </w:tcBorders>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w:t>
            </w:r>
          </w:p>
        </w:tc>
        <w:tc>
          <w:tcPr>
            <w:tcW w:w="982" w:type="pct"/>
            <w:tcBorders>
              <w:top w:val="nil"/>
              <w:left w:val="nil"/>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684" w:type="pct"/>
            <w:tcBorders>
              <w:top w:val="nil"/>
              <w:left w:val="nil"/>
              <w:bottom w:val="single" w:color="auto" w:sz="4" w:space="0"/>
              <w:right w:val="single" w:color="auto" w:sz="4" w:space="0"/>
            </w:tcBorders>
            <w:vAlign w:val="center"/>
          </w:tcPr>
          <w:p>
            <w:pPr>
              <w:jc w:val="center"/>
              <w:rPr>
                <w:bCs/>
                <w:sz w:val="24"/>
              </w:rPr>
            </w:pPr>
          </w:p>
        </w:tc>
        <w:tc>
          <w:tcPr>
            <w:tcW w:w="1038" w:type="pct"/>
            <w:tcBorders>
              <w:top w:val="single" w:color="auto" w:sz="4" w:space="0"/>
              <w:left w:val="nil"/>
              <w:bottom w:val="single" w:color="auto" w:sz="4" w:space="0"/>
              <w:right w:val="single" w:color="auto" w:sz="4" w:space="0"/>
            </w:tcBorders>
            <w:vAlign w:val="center"/>
          </w:tcPr>
          <w:p>
            <w:pPr>
              <w:jc w:val="center"/>
              <w:rPr>
                <w:bCs/>
                <w:sz w:val="24"/>
              </w:rPr>
            </w:pPr>
          </w:p>
        </w:tc>
        <w:tc>
          <w:tcPr>
            <w:tcW w:w="1018"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二</w:t>
            </w:r>
          </w:p>
        </w:tc>
        <w:tc>
          <w:tcPr>
            <w:tcW w:w="852" w:type="pct"/>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项目2</w:t>
            </w:r>
          </w:p>
        </w:tc>
        <w:tc>
          <w:tcPr>
            <w:tcW w:w="982" w:type="pct"/>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 xml:space="preserve"> </w:t>
            </w:r>
          </w:p>
        </w:tc>
        <w:tc>
          <w:tcPr>
            <w:tcW w:w="684" w:type="pct"/>
            <w:tcBorders>
              <w:top w:val="single" w:color="auto" w:sz="4" w:space="0"/>
              <w:left w:val="nil"/>
              <w:bottom w:val="single" w:color="auto" w:sz="4" w:space="0"/>
              <w:right w:val="single" w:color="auto" w:sz="4" w:space="0"/>
            </w:tcBorders>
            <w:vAlign w:val="center"/>
          </w:tcPr>
          <w:p>
            <w:pPr>
              <w:jc w:val="center"/>
              <w:rPr>
                <w:bCs/>
                <w:sz w:val="24"/>
              </w:rPr>
            </w:pPr>
          </w:p>
        </w:tc>
        <w:tc>
          <w:tcPr>
            <w:tcW w:w="1038" w:type="pct"/>
            <w:tcBorders>
              <w:top w:val="single" w:color="auto" w:sz="4" w:space="0"/>
              <w:left w:val="nil"/>
              <w:bottom w:val="single" w:color="auto" w:sz="4" w:space="0"/>
              <w:right w:val="single" w:color="auto" w:sz="4" w:space="0"/>
            </w:tcBorders>
            <w:vAlign w:val="center"/>
          </w:tcPr>
          <w:p>
            <w:pPr>
              <w:jc w:val="center"/>
              <w:rPr>
                <w:bCs/>
                <w:sz w:val="24"/>
              </w:rPr>
            </w:pPr>
          </w:p>
        </w:tc>
        <w:tc>
          <w:tcPr>
            <w:tcW w:w="1018"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1</w:t>
            </w:r>
          </w:p>
        </w:tc>
        <w:tc>
          <w:tcPr>
            <w:tcW w:w="852" w:type="pct"/>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 xml:space="preserve"> 指标1</w:t>
            </w:r>
          </w:p>
        </w:tc>
        <w:tc>
          <w:tcPr>
            <w:tcW w:w="982" w:type="pct"/>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 xml:space="preserve"> </w:t>
            </w:r>
          </w:p>
        </w:tc>
        <w:tc>
          <w:tcPr>
            <w:tcW w:w="684" w:type="pct"/>
            <w:tcBorders>
              <w:top w:val="single" w:color="auto" w:sz="4" w:space="0"/>
              <w:left w:val="nil"/>
              <w:bottom w:val="single" w:color="auto" w:sz="4" w:space="0"/>
              <w:right w:val="single" w:color="auto" w:sz="4" w:space="0"/>
            </w:tcBorders>
            <w:vAlign w:val="center"/>
          </w:tcPr>
          <w:p>
            <w:pPr>
              <w:jc w:val="center"/>
              <w:rPr>
                <w:bCs/>
                <w:sz w:val="24"/>
              </w:rPr>
            </w:pPr>
          </w:p>
        </w:tc>
        <w:tc>
          <w:tcPr>
            <w:tcW w:w="1038" w:type="pct"/>
            <w:tcBorders>
              <w:top w:val="single" w:color="auto" w:sz="4" w:space="0"/>
              <w:left w:val="nil"/>
              <w:bottom w:val="single" w:color="auto" w:sz="4" w:space="0"/>
              <w:right w:val="single" w:color="auto" w:sz="4" w:space="0"/>
            </w:tcBorders>
            <w:vAlign w:val="center"/>
          </w:tcPr>
          <w:p>
            <w:pPr>
              <w:jc w:val="center"/>
              <w:rPr>
                <w:bCs/>
                <w:sz w:val="24"/>
              </w:rPr>
            </w:pPr>
          </w:p>
        </w:tc>
        <w:tc>
          <w:tcPr>
            <w:tcW w:w="1018"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2</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 xml:space="preserve"> 指标2</w:t>
            </w:r>
          </w:p>
        </w:tc>
        <w:tc>
          <w:tcPr>
            <w:tcW w:w="982"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 xml:space="preserve"> </w:t>
            </w:r>
          </w:p>
        </w:tc>
        <w:tc>
          <w:tcPr>
            <w:tcW w:w="684"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038"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018"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3</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指标3</w:t>
            </w:r>
          </w:p>
        </w:tc>
        <w:tc>
          <w:tcPr>
            <w:tcW w:w="982"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684"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038"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018"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26"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w:t>
            </w:r>
          </w:p>
        </w:tc>
        <w:tc>
          <w:tcPr>
            <w:tcW w:w="982"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684"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038"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018"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1299" w:hRule="atLeast"/>
          <w:jc w:val="center"/>
        </w:trPr>
        <w:tc>
          <w:tcPr>
            <w:tcW w:w="5000" w:type="pct"/>
            <w:gridSpan w:val="6"/>
            <w:tcBorders>
              <w:top w:val="single" w:color="auto" w:sz="4" w:space="0"/>
              <w:left w:val="single" w:color="auto" w:sz="4" w:space="0"/>
              <w:bottom w:val="single" w:color="auto" w:sz="4" w:space="0"/>
              <w:right w:val="single" w:color="auto" w:sz="4" w:space="0"/>
            </w:tcBorders>
            <w:vAlign w:val="center"/>
          </w:tcPr>
          <w:p>
            <w:pPr>
              <w:spacing w:line="276" w:lineRule="auto"/>
              <w:rPr>
                <w:bCs/>
                <w:sz w:val="24"/>
              </w:rPr>
            </w:pPr>
            <w:r>
              <w:rPr>
                <w:rFonts w:hint="eastAsia"/>
                <w:bCs/>
                <w:sz w:val="24"/>
              </w:rPr>
              <w:t>备注：报价供应商按照《商务评审标准表》编制此表。报价供应商应当根据本单位实际情况填写指标值或评分项，并标注相关证明材料在资格证明文件或商务技术文件的位置页码，报价供应商不得虚报、瞒报、漏报或虚假承诺。</w:t>
            </w:r>
          </w:p>
        </w:tc>
      </w:tr>
    </w:tbl>
    <w:p>
      <w:pPr>
        <w:widowControl/>
        <w:ind w:firstLine="420" w:firstLineChars="200"/>
        <w:jc w:val="left"/>
        <w:rPr>
          <w:rFonts w:ascii="Arial" w:hAnsi="Arial" w:eastAsia="黑体"/>
          <w:bCs/>
          <w:sz w:val="28"/>
          <w:szCs w:val="28"/>
        </w:rPr>
      </w:pPr>
      <w:r>
        <w:rPr>
          <w:bCs/>
        </w:rPr>
        <w:br w:type="page"/>
      </w:r>
    </w:p>
    <w:p>
      <w:pPr>
        <w:pStyle w:val="6"/>
        <w:spacing w:before="120" w:beforeLines="50" w:after="120" w:afterLines="50" w:line="560" w:lineRule="exact"/>
        <w:rPr>
          <w:rFonts w:ascii="宋体" w:hAnsi="宋体"/>
          <w:b w:val="0"/>
        </w:rPr>
      </w:pPr>
      <w:bookmarkStart w:id="472" w:name="_Toc112768464"/>
      <w:bookmarkStart w:id="473" w:name="_Toc26402"/>
      <w:bookmarkStart w:id="474" w:name="_Toc32161"/>
      <w:bookmarkStart w:id="475" w:name="_Toc32426"/>
      <w:bookmarkStart w:id="476" w:name="_Toc2962"/>
      <w:bookmarkStart w:id="477" w:name="_Toc1679"/>
      <w:r>
        <w:rPr>
          <w:rFonts w:hint="eastAsia"/>
          <w:b w:val="0"/>
        </w:rPr>
        <w:t>附件</w:t>
      </w:r>
      <w:r>
        <w:rPr>
          <w:b w:val="0"/>
        </w:rPr>
        <w:t xml:space="preserve">2-3 </w:t>
      </w:r>
      <w:r>
        <w:rPr>
          <w:rFonts w:hint="eastAsia"/>
          <w:b w:val="0"/>
        </w:rPr>
        <w:t>技术评审索引表</w:t>
      </w:r>
      <w:bookmarkEnd w:id="472"/>
      <w:bookmarkEnd w:id="473"/>
      <w:bookmarkEnd w:id="474"/>
      <w:bookmarkEnd w:id="475"/>
      <w:bookmarkEnd w:id="476"/>
      <w:bookmarkEnd w:id="477"/>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技术评审索引表</w:t>
      </w:r>
    </w:p>
    <w:p>
      <w:pPr>
        <w:spacing w:line="400" w:lineRule="exact"/>
        <w:rPr>
          <w:rFonts w:ascii="黑体" w:hAnsi="黑体" w:eastAsia="黑体"/>
          <w:bCs/>
          <w:sz w:val="28"/>
          <w:szCs w:val="28"/>
        </w:rPr>
      </w:pPr>
      <w:r>
        <w:rPr>
          <w:rFonts w:hint="eastAsia" w:ascii="黑体" w:hAnsi="黑体" w:eastAsia="黑体"/>
          <w:bCs/>
          <w:sz w:val="28"/>
          <w:szCs w:val="28"/>
        </w:rPr>
        <w:t>报价供应商务必在商务技术文件正文前制作本索引表。</w:t>
      </w:r>
    </w:p>
    <w:tbl>
      <w:tblPr>
        <w:tblStyle w:val="44"/>
        <w:tblW w:w="5000" w:type="pct"/>
        <w:jc w:val="center"/>
        <w:tblLayout w:type="autofit"/>
        <w:tblCellMar>
          <w:top w:w="0" w:type="dxa"/>
          <w:left w:w="108" w:type="dxa"/>
          <w:bottom w:w="0" w:type="dxa"/>
          <w:right w:w="108" w:type="dxa"/>
        </w:tblCellMar>
      </w:tblPr>
      <w:tblGrid>
        <w:gridCol w:w="817"/>
        <w:gridCol w:w="1405"/>
        <w:gridCol w:w="2138"/>
        <w:gridCol w:w="1277"/>
        <w:gridCol w:w="1985"/>
        <w:gridCol w:w="1948"/>
      </w:tblGrid>
      <w:tr>
        <w:tblPrEx>
          <w:tblCellMar>
            <w:top w:w="0" w:type="dxa"/>
            <w:left w:w="108" w:type="dxa"/>
            <w:bottom w:w="0" w:type="dxa"/>
            <w:right w:w="108" w:type="dxa"/>
          </w:tblCellMar>
        </w:tblPrEx>
        <w:trPr>
          <w:trHeight w:val="490" w:hRule="atLeast"/>
          <w:jc w:val="center"/>
        </w:trPr>
        <w:tc>
          <w:tcPr>
            <w:tcW w:w="427"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序号</w:t>
            </w:r>
          </w:p>
        </w:tc>
        <w:tc>
          <w:tcPr>
            <w:tcW w:w="734" w:type="pct"/>
            <w:vMerge w:val="restart"/>
            <w:tcBorders>
              <w:top w:val="single" w:color="auto" w:sz="4" w:space="0"/>
              <w:left w:val="nil"/>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评审项目</w:t>
            </w:r>
          </w:p>
        </w:tc>
        <w:tc>
          <w:tcPr>
            <w:tcW w:w="1117" w:type="pct"/>
            <w:vMerge w:val="restart"/>
            <w:tcBorders>
              <w:top w:val="single" w:color="auto" w:sz="4" w:space="0"/>
              <w:left w:val="nil"/>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计分模型</w:t>
            </w:r>
          </w:p>
        </w:tc>
        <w:tc>
          <w:tcPr>
            <w:tcW w:w="667" w:type="pct"/>
            <w:vMerge w:val="restart"/>
            <w:tcBorders>
              <w:top w:val="single" w:color="auto" w:sz="4" w:space="0"/>
              <w:left w:val="nil"/>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标准分值</w:t>
            </w:r>
          </w:p>
        </w:tc>
        <w:tc>
          <w:tcPr>
            <w:tcW w:w="2055" w:type="pct"/>
            <w:gridSpan w:val="2"/>
            <w:tcBorders>
              <w:top w:val="single" w:color="auto" w:sz="4" w:space="0"/>
              <w:left w:val="nil"/>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报价供应商填写</w:t>
            </w:r>
          </w:p>
        </w:tc>
      </w:tr>
      <w:tr>
        <w:tblPrEx>
          <w:tblCellMar>
            <w:top w:w="0" w:type="dxa"/>
            <w:left w:w="108" w:type="dxa"/>
            <w:bottom w:w="0" w:type="dxa"/>
            <w:right w:w="108" w:type="dxa"/>
          </w:tblCellMar>
        </w:tblPrEx>
        <w:trPr>
          <w:trHeight w:val="680" w:hRule="atLeast"/>
          <w:jc w:val="center"/>
        </w:trPr>
        <w:tc>
          <w:tcPr>
            <w:tcW w:w="427"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p>
        </w:tc>
        <w:tc>
          <w:tcPr>
            <w:tcW w:w="734" w:type="pct"/>
            <w:vMerge w:val="continue"/>
            <w:tcBorders>
              <w:top w:val="single" w:color="auto" w:sz="4" w:space="0"/>
              <w:left w:val="nil"/>
              <w:bottom w:val="single" w:color="auto" w:sz="4" w:space="0"/>
              <w:right w:val="single" w:color="auto" w:sz="4" w:space="0"/>
            </w:tcBorders>
            <w:vAlign w:val="center"/>
          </w:tcPr>
          <w:p>
            <w:pPr>
              <w:jc w:val="center"/>
              <w:rPr>
                <w:rFonts w:ascii="宋体" w:hAnsi="宋体" w:cs="宋体"/>
                <w:bCs/>
                <w:sz w:val="24"/>
              </w:rPr>
            </w:pPr>
          </w:p>
        </w:tc>
        <w:tc>
          <w:tcPr>
            <w:tcW w:w="1117" w:type="pct"/>
            <w:vMerge w:val="continue"/>
            <w:tcBorders>
              <w:top w:val="single" w:color="auto" w:sz="4" w:space="0"/>
              <w:left w:val="nil"/>
              <w:bottom w:val="single" w:color="auto" w:sz="4" w:space="0"/>
              <w:right w:val="single" w:color="auto" w:sz="4" w:space="0"/>
            </w:tcBorders>
            <w:vAlign w:val="center"/>
          </w:tcPr>
          <w:p>
            <w:pPr>
              <w:jc w:val="center"/>
              <w:rPr>
                <w:rFonts w:ascii="宋体" w:hAnsi="宋体" w:cs="宋体"/>
                <w:bCs/>
                <w:sz w:val="24"/>
              </w:rPr>
            </w:pPr>
          </w:p>
        </w:tc>
        <w:tc>
          <w:tcPr>
            <w:tcW w:w="667" w:type="pct"/>
            <w:vMerge w:val="continue"/>
            <w:tcBorders>
              <w:top w:val="single" w:color="auto" w:sz="4" w:space="0"/>
              <w:left w:val="nil"/>
              <w:bottom w:val="single" w:color="auto" w:sz="4" w:space="0"/>
              <w:right w:val="single" w:color="auto" w:sz="4" w:space="0"/>
            </w:tcBorders>
            <w:vAlign w:val="center"/>
          </w:tcPr>
          <w:p>
            <w:pPr>
              <w:jc w:val="center"/>
              <w:rPr>
                <w:rFonts w:ascii="宋体" w:hAnsi="宋体" w:cs="宋体"/>
                <w:bCs/>
                <w:sz w:val="24"/>
              </w:rPr>
            </w:pPr>
          </w:p>
        </w:tc>
        <w:tc>
          <w:tcPr>
            <w:tcW w:w="1037" w:type="pct"/>
            <w:tcBorders>
              <w:top w:val="single" w:color="auto" w:sz="4" w:space="0"/>
              <w:left w:val="nil"/>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指标值或评分项</w:t>
            </w:r>
          </w:p>
        </w:tc>
        <w:tc>
          <w:tcPr>
            <w:tcW w:w="1018" w:type="pct"/>
            <w:tcBorders>
              <w:top w:val="single" w:color="auto" w:sz="4" w:space="0"/>
              <w:left w:val="nil"/>
              <w:bottom w:val="single" w:color="auto" w:sz="4" w:space="0"/>
              <w:right w:val="single" w:color="auto" w:sz="4" w:space="0"/>
            </w:tcBorders>
            <w:vAlign w:val="center"/>
          </w:tcPr>
          <w:p>
            <w:pPr>
              <w:jc w:val="center"/>
              <w:rPr>
                <w:rFonts w:ascii="宋体" w:hAnsi="宋体" w:cs="宋体"/>
                <w:bCs/>
                <w:sz w:val="24"/>
              </w:rPr>
            </w:pPr>
            <w:r>
              <w:rPr>
                <w:rFonts w:hint="eastAsia"/>
                <w:bCs/>
                <w:sz w:val="24"/>
              </w:rPr>
              <w:t>文件名称∕页码</w:t>
            </w:r>
          </w:p>
        </w:tc>
      </w:tr>
      <w:tr>
        <w:tblPrEx>
          <w:tblCellMar>
            <w:top w:w="0" w:type="dxa"/>
            <w:left w:w="108" w:type="dxa"/>
            <w:bottom w:w="0" w:type="dxa"/>
            <w:right w:w="108" w:type="dxa"/>
          </w:tblCellMar>
        </w:tblPrEx>
        <w:trPr>
          <w:trHeight w:val="680" w:hRule="atLeast"/>
          <w:jc w:val="center"/>
        </w:trPr>
        <w:tc>
          <w:tcPr>
            <w:tcW w:w="427" w:type="pct"/>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734" w:type="pct"/>
            <w:tcBorders>
              <w:top w:val="nil"/>
              <w:left w:val="nil"/>
              <w:bottom w:val="single" w:color="auto" w:sz="4" w:space="0"/>
              <w:right w:val="single" w:color="auto" w:sz="4" w:space="0"/>
            </w:tcBorders>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合</w:t>
            </w:r>
            <w:r>
              <w:rPr>
                <w:rFonts w:asciiTheme="minorEastAsia" w:hAnsiTheme="minorEastAsia" w:eastAsiaTheme="minorEastAsia"/>
                <w:bCs/>
                <w:sz w:val="24"/>
              </w:rPr>
              <w:t xml:space="preserve">  </w:t>
            </w:r>
            <w:r>
              <w:rPr>
                <w:rFonts w:hint="eastAsia" w:asciiTheme="minorEastAsia" w:hAnsiTheme="minorEastAsia" w:eastAsiaTheme="minorEastAsia"/>
                <w:bCs/>
                <w:sz w:val="24"/>
              </w:rPr>
              <w:t>计</w:t>
            </w:r>
          </w:p>
        </w:tc>
        <w:tc>
          <w:tcPr>
            <w:tcW w:w="1117" w:type="pct"/>
            <w:tcBorders>
              <w:top w:val="nil"/>
              <w:left w:val="nil"/>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667" w:type="pct"/>
            <w:tcBorders>
              <w:top w:val="nil"/>
              <w:left w:val="nil"/>
              <w:bottom w:val="single" w:color="auto" w:sz="4" w:space="0"/>
              <w:right w:val="single" w:color="auto" w:sz="4" w:space="0"/>
            </w:tcBorders>
            <w:vAlign w:val="center"/>
          </w:tcPr>
          <w:p>
            <w:pPr>
              <w:jc w:val="center"/>
              <w:rPr>
                <w:bCs/>
                <w:sz w:val="24"/>
              </w:rPr>
            </w:pPr>
          </w:p>
        </w:tc>
        <w:tc>
          <w:tcPr>
            <w:tcW w:w="1037" w:type="pct"/>
            <w:tcBorders>
              <w:top w:val="single" w:color="auto" w:sz="4" w:space="0"/>
              <w:left w:val="nil"/>
              <w:bottom w:val="single" w:color="auto" w:sz="4" w:space="0"/>
              <w:right w:val="single" w:color="auto" w:sz="4" w:space="0"/>
            </w:tcBorders>
            <w:vAlign w:val="center"/>
          </w:tcPr>
          <w:p>
            <w:pPr>
              <w:jc w:val="center"/>
              <w:rPr>
                <w:bCs/>
                <w:sz w:val="24"/>
              </w:rPr>
            </w:pPr>
          </w:p>
        </w:tc>
        <w:tc>
          <w:tcPr>
            <w:tcW w:w="1018"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27" w:type="pct"/>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一</w:t>
            </w:r>
          </w:p>
        </w:tc>
        <w:tc>
          <w:tcPr>
            <w:tcW w:w="734" w:type="pct"/>
            <w:tcBorders>
              <w:top w:val="nil"/>
              <w:left w:val="nil"/>
              <w:bottom w:val="single" w:color="auto" w:sz="4" w:space="0"/>
              <w:right w:val="single" w:color="auto" w:sz="4" w:space="0"/>
            </w:tcBorders>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项目1</w:t>
            </w:r>
          </w:p>
        </w:tc>
        <w:tc>
          <w:tcPr>
            <w:tcW w:w="1117" w:type="pct"/>
            <w:tcBorders>
              <w:top w:val="nil"/>
              <w:left w:val="nil"/>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 xml:space="preserve"> </w:t>
            </w:r>
          </w:p>
        </w:tc>
        <w:tc>
          <w:tcPr>
            <w:tcW w:w="667"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c>
          <w:tcPr>
            <w:tcW w:w="1037" w:type="pct"/>
            <w:tcBorders>
              <w:top w:val="single" w:color="auto" w:sz="4" w:space="0"/>
              <w:left w:val="nil"/>
              <w:bottom w:val="single" w:color="auto" w:sz="4" w:space="0"/>
              <w:right w:val="single" w:color="auto" w:sz="4" w:space="0"/>
            </w:tcBorders>
            <w:vAlign w:val="center"/>
          </w:tcPr>
          <w:p>
            <w:pPr>
              <w:jc w:val="center"/>
              <w:rPr>
                <w:bCs/>
                <w:sz w:val="24"/>
              </w:rPr>
            </w:pPr>
          </w:p>
        </w:tc>
        <w:tc>
          <w:tcPr>
            <w:tcW w:w="1018"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27" w:type="pct"/>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1</w:t>
            </w:r>
          </w:p>
        </w:tc>
        <w:tc>
          <w:tcPr>
            <w:tcW w:w="734" w:type="pct"/>
            <w:tcBorders>
              <w:top w:val="nil"/>
              <w:left w:val="nil"/>
              <w:bottom w:val="single" w:color="auto" w:sz="4" w:space="0"/>
              <w:right w:val="single" w:color="auto" w:sz="4" w:space="0"/>
            </w:tcBorders>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指标1</w:t>
            </w:r>
          </w:p>
        </w:tc>
        <w:tc>
          <w:tcPr>
            <w:tcW w:w="1117" w:type="pct"/>
            <w:tcBorders>
              <w:top w:val="nil"/>
              <w:left w:val="nil"/>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 xml:space="preserve"> </w:t>
            </w:r>
          </w:p>
        </w:tc>
        <w:tc>
          <w:tcPr>
            <w:tcW w:w="667" w:type="pct"/>
            <w:tcBorders>
              <w:top w:val="nil"/>
              <w:left w:val="nil"/>
              <w:bottom w:val="single" w:color="auto" w:sz="4" w:space="0"/>
              <w:right w:val="single" w:color="auto" w:sz="4" w:space="0"/>
            </w:tcBorders>
            <w:vAlign w:val="center"/>
          </w:tcPr>
          <w:p>
            <w:pPr>
              <w:jc w:val="center"/>
              <w:rPr>
                <w:bCs/>
                <w:sz w:val="24"/>
              </w:rPr>
            </w:pPr>
          </w:p>
        </w:tc>
        <w:tc>
          <w:tcPr>
            <w:tcW w:w="1037" w:type="pct"/>
            <w:tcBorders>
              <w:top w:val="single" w:color="auto" w:sz="4" w:space="0"/>
              <w:left w:val="nil"/>
              <w:bottom w:val="single" w:color="auto" w:sz="4" w:space="0"/>
              <w:right w:val="single" w:color="auto" w:sz="4" w:space="0"/>
            </w:tcBorders>
            <w:vAlign w:val="center"/>
          </w:tcPr>
          <w:p>
            <w:pPr>
              <w:jc w:val="center"/>
              <w:rPr>
                <w:bCs/>
                <w:sz w:val="24"/>
              </w:rPr>
            </w:pPr>
          </w:p>
        </w:tc>
        <w:tc>
          <w:tcPr>
            <w:tcW w:w="1018"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27" w:type="pct"/>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2</w:t>
            </w:r>
          </w:p>
        </w:tc>
        <w:tc>
          <w:tcPr>
            <w:tcW w:w="734" w:type="pct"/>
            <w:tcBorders>
              <w:top w:val="nil"/>
              <w:left w:val="nil"/>
              <w:bottom w:val="single" w:color="auto" w:sz="4" w:space="0"/>
              <w:right w:val="single" w:color="auto" w:sz="4" w:space="0"/>
            </w:tcBorders>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指标2</w:t>
            </w:r>
          </w:p>
        </w:tc>
        <w:tc>
          <w:tcPr>
            <w:tcW w:w="1117" w:type="pct"/>
            <w:tcBorders>
              <w:top w:val="nil"/>
              <w:left w:val="nil"/>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 xml:space="preserve"> </w:t>
            </w:r>
          </w:p>
        </w:tc>
        <w:tc>
          <w:tcPr>
            <w:tcW w:w="667" w:type="pct"/>
            <w:tcBorders>
              <w:top w:val="nil"/>
              <w:left w:val="nil"/>
              <w:bottom w:val="single" w:color="auto" w:sz="4" w:space="0"/>
              <w:right w:val="single" w:color="auto" w:sz="4" w:space="0"/>
            </w:tcBorders>
            <w:vAlign w:val="center"/>
          </w:tcPr>
          <w:p>
            <w:pPr>
              <w:jc w:val="center"/>
              <w:rPr>
                <w:bCs/>
                <w:sz w:val="24"/>
              </w:rPr>
            </w:pPr>
          </w:p>
        </w:tc>
        <w:tc>
          <w:tcPr>
            <w:tcW w:w="1037" w:type="pct"/>
            <w:tcBorders>
              <w:top w:val="single" w:color="auto" w:sz="4" w:space="0"/>
              <w:left w:val="nil"/>
              <w:bottom w:val="single" w:color="auto" w:sz="4" w:space="0"/>
              <w:right w:val="single" w:color="auto" w:sz="4" w:space="0"/>
            </w:tcBorders>
            <w:vAlign w:val="center"/>
          </w:tcPr>
          <w:p>
            <w:pPr>
              <w:jc w:val="center"/>
              <w:rPr>
                <w:bCs/>
                <w:sz w:val="24"/>
              </w:rPr>
            </w:pPr>
          </w:p>
        </w:tc>
        <w:tc>
          <w:tcPr>
            <w:tcW w:w="1018"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27" w:type="pct"/>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3</w:t>
            </w:r>
          </w:p>
        </w:tc>
        <w:tc>
          <w:tcPr>
            <w:tcW w:w="734" w:type="pct"/>
            <w:tcBorders>
              <w:top w:val="nil"/>
              <w:left w:val="nil"/>
              <w:bottom w:val="single" w:color="auto" w:sz="4" w:space="0"/>
              <w:right w:val="single" w:color="auto" w:sz="4" w:space="0"/>
            </w:tcBorders>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指标3</w:t>
            </w:r>
          </w:p>
        </w:tc>
        <w:tc>
          <w:tcPr>
            <w:tcW w:w="1117" w:type="pct"/>
            <w:tcBorders>
              <w:top w:val="nil"/>
              <w:left w:val="nil"/>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 xml:space="preserve"> </w:t>
            </w:r>
          </w:p>
        </w:tc>
        <w:tc>
          <w:tcPr>
            <w:tcW w:w="667" w:type="pct"/>
            <w:tcBorders>
              <w:top w:val="nil"/>
              <w:left w:val="nil"/>
              <w:bottom w:val="single" w:color="auto" w:sz="4" w:space="0"/>
              <w:right w:val="single" w:color="auto" w:sz="4" w:space="0"/>
            </w:tcBorders>
            <w:vAlign w:val="center"/>
          </w:tcPr>
          <w:p>
            <w:pPr>
              <w:jc w:val="center"/>
              <w:rPr>
                <w:bCs/>
                <w:sz w:val="24"/>
              </w:rPr>
            </w:pPr>
          </w:p>
        </w:tc>
        <w:tc>
          <w:tcPr>
            <w:tcW w:w="1037" w:type="pct"/>
            <w:tcBorders>
              <w:top w:val="single" w:color="auto" w:sz="4" w:space="0"/>
              <w:left w:val="nil"/>
              <w:bottom w:val="single" w:color="auto" w:sz="4" w:space="0"/>
              <w:right w:val="single" w:color="auto" w:sz="4" w:space="0"/>
            </w:tcBorders>
            <w:vAlign w:val="center"/>
          </w:tcPr>
          <w:p>
            <w:pPr>
              <w:jc w:val="center"/>
              <w:rPr>
                <w:bCs/>
                <w:sz w:val="24"/>
              </w:rPr>
            </w:pPr>
          </w:p>
        </w:tc>
        <w:tc>
          <w:tcPr>
            <w:tcW w:w="1018"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27" w:type="pct"/>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 xml:space="preserve">   </w:t>
            </w:r>
          </w:p>
        </w:tc>
        <w:tc>
          <w:tcPr>
            <w:tcW w:w="734" w:type="pct"/>
            <w:tcBorders>
              <w:top w:val="nil"/>
              <w:left w:val="nil"/>
              <w:bottom w:val="single" w:color="auto" w:sz="4" w:space="0"/>
              <w:right w:val="single" w:color="auto" w:sz="4" w:space="0"/>
            </w:tcBorders>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w:t>
            </w:r>
          </w:p>
        </w:tc>
        <w:tc>
          <w:tcPr>
            <w:tcW w:w="1117" w:type="pct"/>
            <w:tcBorders>
              <w:top w:val="nil"/>
              <w:left w:val="nil"/>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667" w:type="pct"/>
            <w:tcBorders>
              <w:top w:val="nil"/>
              <w:left w:val="nil"/>
              <w:bottom w:val="single" w:color="auto" w:sz="4" w:space="0"/>
              <w:right w:val="single" w:color="auto" w:sz="4" w:space="0"/>
            </w:tcBorders>
            <w:vAlign w:val="center"/>
          </w:tcPr>
          <w:p>
            <w:pPr>
              <w:jc w:val="center"/>
              <w:rPr>
                <w:bCs/>
                <w:sz w:val="24"/>
              </w:rPr>
            </w:pPr>
          </w:p>
        </w:tc>
        <w:tc>
          <w:tcPr>
            <w:tcW w:w="1037" w:type="pct"/>
            <w:tcBorders>
              <w:top w:val="single" w:color="auto" w:sz="4" w:space="0"/>
              <w:left w:val="nil"/>
              <w:bottom w:val="single" w:color="auto" w:sz="4" w:space="0"/>
              <w:right w:val="single" w:color="auto" w:sz="4" w:space="0"/>
            </w:tcBorders>
            <w:vAlign w:val="center"/>
          </w:tcPr>
          <w:p>
            <w:pPr>
              <w:jc w:val="center"/>
              <w:rPr>
                <w:bCs/>
                <w:sz w:val="24"/>
              </w:rPr>
            </w:pPr>
          </w:p>
        </w:tc>
        <w:tc>
          <w:tcPr>
            <w:tcW w:w="1018"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27"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二</w:t>
            </w:r>
          </w:p>
        </w:tc>
        <w:tc>
          <w:tcPr>
            <w:tcW w:w="734" w:type="pct"/>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项目2</w:t>
            </w:r>
          </w:p>
        </w:tc>
        <w:tc>
          <w:tcPr>
            <w:tcW w:w="1117" w:type="pct"/>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 xml:space="preserve"> </w:t>
            </w:r>
          </w:p>
        </w:tc>
        <w:tc>
          <w:tcPr>
            <w:tcW w:w="667" w:type="pct"/>
            <w:tcBorders>
              <w:top w:val="single" w:color="auto" w:sz="4" w:space="0"/>
              <w:left w:val="nil"/>
              <w:bottom w:val="single" w:color="auto" w:sz="4" w:space="0"/>
              <w:right w:val="single" w:color="auto" w:sz="4" w:space="0"/>
            </w:tcBorders>
            <w:vAlign w:val="center"/>
          </w:tcPr>
          <w:p>
            <w:pPr>
              <w:jc w:val="center"/>
              <w:rPr>
                <w:bCs/>
                <w:sz w:val="24"/>
              </w:rPr>
            </w:pPr>
          </w:p>
        </w:tc>
        <w:tc>
          <w:tcPr>
            <w:tcW w:w="1037" w:type="pct"/>
            <w:tcBorders>
              <w:top w:val="single" w:color="auto" w:sz="4" w:space="0"/>
              <w:left w:val="nil"/>
              <w:bottom w:val="single" w:color="auto" w:sz="4" w:space="0"/>
              <w:right w:val="single" w:color="auto" w:sz="4" w:space="0"/>
            </w:tcBorders>
            <w:vAlign w:val="center"/>
          </w:tcPr>
          <w:p>
            <w:pPr>
              <w:jc w:val="center"/>
              <w:rPr>
                <w:bCs/>
                <w:sz w:val="24"/>
              </w:rPr>
            </w:pPr>
          </w:p>
        </w:tc>
        <w:tc>
          <w:tcPr>
            <w:tcW w:w="1018"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27"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1</w:t>
            </w:r>
          </w:p>
        </w:tc>
        <w:tc>
          <w:tcPr>
            <w:tcW w:w="734" w:type="pct"/>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 xml:space="preserve"> 指标1</w:t>
            </w:r>
          </w:p>
        </w:tc>
        <w:tc>
          <w:tcPr>
            <w:tcW w:w="1117" w:type="pct"/>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 xml:space="preserve"> </w:t>
            </w:r>
          </w:p>
        </w:tc>
        <w:tc>
          <w:tcPr>
            <w:tcW w:w="667" w:type="pct"/>
            <w:tcBorders>
              <w:top w:val="single" w:color="auto" w:sz="4" w:space="0"/>
              <w:left w:val="nil"/>
              <w:bottom w:val="single" w:color="auto" w:sz="4" w:space="0"/>
              <w:right w:val="single" w:color="auto" w:sz="4" w:space="0"/>
            </w:tcBorders>
            <w:vAlign w:val="center"/>
          </w:tcPr>
          <w:p>
            <w:pPr>
              <w:jc w:val="center"/>
              <w:rPr>
                <w:bCs/>
                <w:sz w:val="24"/>
              </w:rPr>
            </w:pPr>
          </w:p>
        </w:tc>
        <w:tc>
          <w:tcPr>
            <w:tcW w:w="1037" w:type="pct"/>
            <w:tcBorders>
              <w:top w:val="single" w:color="auto" w:sz="4" w:space="0"/>
              <w:left w:val="nil"/>
              <w:bottom w:val="single" w:color="auto" w:sz="4" w:space="0"/>
              <w:right w:val="single" w:color="auto" w:sz="4" w:space="0"/>
            </w:tcBorders>
            <w:vAlign w:val="center"/>
          </w:tcPr>
          <w:p>
            <w:pPr>
              <w:jc w:val="center"/>
              <w:rPr>
                <w:bCs/>
                <w:sz w:val="24"/>
              </w:rPr>
            </w:pPr>
          </w:p>
        </w:tc>
        <w:tc>
          <w:tcPr>
            <w:tcW w:w="1018"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27"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2</w:t>
            </w:r>
          </w:p>
        </w:tc>
        <w:tc>
          <w:tcPr>
            <w:tcW w:w="734"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 xml:space="preserve"> 指标2</w:t>
            </w:r>
          </w:p>
        </w:tc>
        <w:tc>
          <w:tcPr>
            <w:tcW w:w="1117"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 xml:space="preserve"> </w:t>
            </w:r>
          </w:p>
        </w:tc>
        <w:tc>
          <w:tcPr>
            <w:tcW w:w="667"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037"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018"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27"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3</w:t>
            </w:r>
          </w:p>
        </w:tc>
        <w:tc>
          <w:tcPr>
            <w:tcW w:w="734"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指标3</w:t>
            </w:r>
          </w:p>
        </w:tc>
        <w:tc>
          <w:tcPr>
            <w:tcW w:w="1117"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667"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037"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018"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27"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34" w:type="pc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w:t>
            </w:r>
          </w:p>
        </w:tc>
        <w:tc>
          <w:tcPr>
            <w:tcW w:w="1117"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667"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037"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018"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1354" w:hRule="atLeast"/>
          <w:jc w:val="center"/>
        </w:trPr>
        <w:tc>
          <w:tcPr>
            <w:tcW w:w="5000" w:type="pct"/>
            <w:gridSpan w:val="6"/>
            <w:tcBorders>
              <w:top w:val="single" w:color="auto" w:sz="4" w:space="0"/>
              <w:left w:val="single" w:color="auto" w:sz="4" w:space="0"/>
              <w:bottom w:val="single" w:color="auto" w:sz="4" w:space="0"/>
              <w:right w:val="single" w:color="auto" w:sz="4" w:space="0"/>
            </w:tcBorders>
            <w:vAlign w:val="center"/>
          </w:tcPr>
          <w:p>
            <w:pPr>
              <w:spacing w:line="276" w:lineRule="auto"/>
              <w:rPr>
                <w:bCs/>
                <w:sz w:val="24"/>
              </w:rPr>
            </w:pPr>
            <w:r>
              <w:rPr>
                <w:rFonts w:hint="eastAsia"/>
                <w:bCs/>
                <w:sz w:val="24"/>
              </w:rPr>
              <w:t>备注：报价供应商按照《技术评审标准表》编制此表。报价供应商应当根据本单位实际情况填写指标值或评分项，并标注相关证明材料在资格证明文件或商务技术文件的位置页码，报价供应商不得虚报、瞒报、漏报或虚假承诺。</w:t>
            </w:r>
          </w:p>
        </w:tc>
      </w:tr>
    </w:tbl>
    <w:p>
      <w:pPr>
        <w:jc w:val="center"/>
        <w:rPr>
          <w:bCs/>
        </w:rPr>
      </w:pPr>
    </w:p>
    <w:p>
      <w:pPr>
        <w:pStyle w:val="6"/>
        <w:spacing w:before="120" w:beforeLines="50" w:after="120" w:afterLines="50" w:line="560" w:lineRule="exact"/>
        <w:rPr>
          <w:rFonts w:ascii="宋体" w:hAnsi="宋体"/>
          <w:b w:val="0"/>
        </w:rPr>
      </w:pPr>
      <w:r>
        <w:rPr>
          <w:b w:val="0"/>
        </w:rPr>
        <w:br w:type="page"/>
      </w:r>
      <w:bookmarkStart w:id="478" w:name="_Toc23368"/>
      <w:bookmarkStart w:id="479" w:name="_Toc112768465"/>
      <w:bookmarkStart w:id="480" w:name="_Toc14205"/>
      <w:bookmarkStart w:id="481" w:name="_Toc5191"/>
      <w:bookmarkStart w:id="482" w:name="_Toc27075"/>
      <w:bookmarkStart w:id="483" w:name="_Toc13024"/>
      <w:r>
        <w:rPr>
          <w:rFonts w:hint="eastAsia"/>
          <w:b w:val="0"/>
        </w:rPr>
        <w:t>附件</w:t>
      </w:r>
      <w:r>
        <w:rPr>
          <w:b w:val="0"/>
        </w:rPr>
        <w:t xml:space="preserve">2-4 </w:t>
      </w:r>
      <w:r>
        <w:rPr>
          <w:rFonts w:hint="eastAsia"/>
          <w:b w:val="0"/>
        </w:rPr>
        <w:t>谈判函</w:t>
      </w:r>
      <w:bookmarkEnd w:id="478"/>
      <w:bookmarkEnd w:id="479"/>
      <w:bookmarkEnd w:id="480"/>
      <w:bookmarkEnd w:id="481"/>
      <w:bookmarkEnd w:id="482"/>
      <w:bookmarkEnd w:id="483"/>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谈判函</w:t>
      </w:r>
    </w:p>
    <w:p>
      <w:pPr>
        <w:spacing w:line="500" w:lineRule="exact"/>
        <w:rPr>
          <w:rFonts w:ascii="宋体" w:hAnsi="宋体" w:cs="宋体"/>
          <w:bCs/>
          <w:sz w:val="28"/>
          <w:szCs w:val="28"/>
        </w:rPr>
      </w:pPr>
      <w:r>
        <w:rPr>
          <w:rFonts w:hint="eastAsia" w:ascii="楷体_GB2312" w:hAnsi="宋体" w:eastAsia="楷体_GB2312"/>
          <w:bCs/>
          <w:sz w:val="28"/>
          <w:szCs w:val="28"/>
          <w:u w:val="single"/>
        </w:rPr>
        <w:t>（</w:t>
      </w:r>
      <w:r>
        <w:rPr>
          <w:rFonts w:hint="eastAsia" w:ascii="宋体" w:hAnsi="宋体" w:cs="宋体"/>
          <w:bCs/>
          <w:sz w:val="28"/>
          <w:szCs w:val="28"/>
          <w:u w:val="single"/>
        </w:rPr>
        <w:t>采购机构名称）</w:t>
      </w:r>
      <w:r>
        <w:rPr>
          <w:rFonts w:hint="eastAsia" w:ascii="宋体" w:hAnsi="宋体" w:cs="宋体"/>
          <w:bCs/>
          <w:sz w:val="28"/>
          <w:szCs w:val="28"/>
        </w:rPr>
        <w:t>：</w:t>
      </w:r>
    </w:p>
    <w:p>
      <w:pPr>
        <w:spacing w:line="500" w:lineRule="exact"/>
        <w:ind w:firstLine="560" w:firstLineChars="200"/>
        <w:rPr>
          <w:rFonts w:ascii="宋体" w:hAnsi="宋体" w:cs="宋体"/>
          <w:bCs/>
          <w:sz w:val="28"/>
          <w:szCs w:val="28"/>
        </w:rPr>
      </w:pPr>
      <w:r>
        <w:rPr>
          <w:rFonts w:hint="eastAsia" w:ascii="宋体" w:hAnsi="宋体" w:cs="宋体"/>
          <w:bCs/>
          <w:sz w:val="28"/>
          <w:szCs w:val="28"/>
        </w:rPr>
        <w:t>我方参加贵部组织的</w:t>
      </w:r>
      <w:r>
        <w:rPr>
          <w:rFonts w:hint="eastAsia" w:ascii="宋体" w:hAnsi="宋体" w:cs="宋体"/>
          <w:bCs/>
          <w:sz w:val="28"/>
          <w:szCs w:val="28"/>
          <w:u w:val="single"/>
        </w:rPr>
        <w:t>（项目编号和项目名称）</w:t>
      </w:r>
      <w:r>
        <w:rPr>
          <w:rFonts w:hint="eastAsia" w:ascii="宋体" w:hAnsi="宋体" w:cs="宋体"/>
          <w:bCs/>
          <w:sz w:val="28"/>
          <w:szCs w:val="28"/>
        </w:rPr>
        <w:t>采购活动，并对</w:t>
      </w:r>
      <w:r>
        <w:rPr>
          <w:rFonts w:hint="eastAsia" w:ascii="宋体" w:hAnsi="宋体" w:cs="宋体"/>
          <w:bCs/>
          <w:sz w:val="28"/>
          <w:szCs w:val="28"/>
          <w:u w:val="single"/>
        </w:rPr>
        <w:t>（包号或物资名称）</w:t>
      </w:r>
      <w:r>
        <w:rPr>
          <w:rFonts w:hint="eastAsia" w:ascii="宋体" w:hAnsi="宋体" w:cs="宋体"/>
          <w:bCs/>
          <w:sz w:val="28"/>
          <w:szCs w:val="28"/>
        </w:rPr>
        <w:t>进行谈判。</w:t>
      </w:r>
    </w:p>
    <w:p>
      <w:pPr>
        <w:tabs>
          <w:tab w:val="left" w:pos="1020"/>
        </w:tabs>
        <w:spacing w:line="500" w:lineRule="exact"/>
        <w:ind w:firstLine="560" w:firstLineChars="200"/>
        <w:rPr>
          <w:rFonts w:ascii="宋体" w:hAnsi="宋体" w:cs="宋体"/>
          <w:bCs/>
          <w:sz w:val="28"/>
          <w:szCs w:val="28"/>
        </w:rPr>
      </w:pPr>
      <w:r>
        <w:rPr>
          <w:rFonts w:hint="eastAsia" w:ascii="宋体" w:hAnsi="宋体" w:cs="宋体"/>
          <w:bCs/>
          <w:sz w:val="28"/>
          <w:szCs w:val="28"/>
        </w:rPr>
        <w:t>一、按照谈判文件要求提交</w:t>
      </w:r>
      <w:r>
        <w:rPr>
          <w:rFonts w:hint="eastAsia" w:ascii="宋体" w:hAnsi="宋体" w:cs="宋体"/>
          <w:bCs/>
          <w:sz w:val="28"/>
          <w:szCs w:val="28"/>
          <w:lang w:val="zh-CN"/>
        </w:rPr>
        <w:t>报价文件正本</w:t>
      </w:r>
      <w:r>
        <w:rPr>
          <w:rFonts w:hint="eastAsia" w:ascii="宋体" w:hAnsi="宋体" w:cs="宋体"/>
          <w:bCs/>
          <w:sz w:val="28"/>
          <w:szCs w:val="28"/>
          <w:u w:val="single"/>
          <w:lang w:val="zh-CN"/>
        </w:rPr>
        <w:t xml:space="preserve">   </w:t>
      </w:r>
      <w:r>
        <w:rPr>
          <w:rFonts w:hint="eastAsia" w:ascii="宋体" w:hAnsi="宋体" w:cs="宋体"/>
          <w:bCs/>
          <w:sz w:val="28"/>
          <w:szCs w:val="28"/>
          <w:lang w:val="zh-CN"/>
        </w:rPr>
        <w:t>份和副本</w:t>
      </w:r>
      <w:r>
        <w:rPr>
          <w:rFonts w:hint="eastAsia" w:ascii="宋体" w:hAnsi="宋体" w:cs="宋体"/>
          <w:bCs/>
          <w:sz w:val="28"/>
          <w:szCs w:val="28"/>
          <w:u w:val="single"/>
          <w:lang w:val="zh-CN"/>
        </w:rPr>
        <w:t xml:space="preserve">   </w:t>
      </w:r>
      <w:r>
        <w:rPr>
          <w:rFonts w:hint="eastAsia" w:ascii="宋体" w:hAnsi="宋体" w:cs="宋体"/>
          <w:bCs/>
          <w:sz w:val="28"/>
          <w:szCs w:val="28"/>
          <w:lang w:val="zh-CN"/>
        </w:rPr>
        <w:t>份</w:t>
      </w:r>
      <w:r>
        <w:rPr>
          <w:rFonts w:hint="eastAsia" w:ascii="宋体" w:hAnsi="宋体" w:cs="宋体"/>
          <w:bCs/>
          <w:sz w:val="28"/>
          <w:szCs w:val="28"/>
        </w:rPr>
        <w:t>，电子版报价文件</w:t>
      </w:r>
      <w:r>
        <w:rPr>
          <w:rFonts w:hint="eastAsia" w:ascii="宋体" w:hAnsi="宋体" w:cs="宋体"/>
          <w:bCs/>
          <w:sz w:val="28"/>
          <w:szCs w:val="28"/>
          <w:u w:val="single"/>
        </w:rPr>
        <w:t xml:space="preserve">   </w:t>
      </w:r>
      <w:r>
        <w:rPr>
          <w:rFonts w:hint="eastAsia" w:ascii="宋体" w:hAnsi="宋体" w:cs="宋体"/>
          <w:bCs/>
          <w:sz w:val="28"/>
          <w:szCs w:val="28"/>
        </w:rPr>
        <w:t>份。其中，“价格文件”</w:t>
      </w:r>
      <w:r>
        <w:rPr>
          <w:rFonts w:hint="eastAsia" w:ascii="宋体" w:hAnsi="宋体" w:cs="宋体"/>
          <w:bCs/>
          <w:sz w:val="28"/>
          <w:szCs w:val="28"/>
          <w:u w:val="single"/>
        </w:rPr>
        <w:t xml:space="preserve"> </w:t>
      </w:r>
      <w:r>
        <w:rPr>
          <w:rFonts w:ascii="宋体" w:hAnsi="宋体" w:cs="宋体"/>
          <w:bCs/>
          <w:sz w:val="28"/>
          <w:szCs w:val="28"/>
          <w:u w:val="single"/>
        </w:rPr>
        <w:t xml:space="preserve">   </w:t>
      </w:r>
      <w:r>
        <w:rPr>
          <w:rFonts w:hint="eastAsia" w:ascii="宋体" w:hAnsi="宋体" w:cs="宋体"/>
          <w:bCs/>
          <w:sz w:val="28"/>
          <w:szCs w:val="28"/>
        </w:rPr>
        <w:t>份单独密封提交。</w:t>
      </w:r>
    </w:p>
    <w:p>
      <w:pPr>
        <w:tabs>
          <w:tab w:val="left" w:pos="1020"/>
        </w:tabs>
        <w:spacing w:line="500" w:lineRule="exact"/>
        <w:ind w:firstLine="560" w:firstLineChars="200"/>
        <w:rPr>
          <w:rFonts w:ascii="宋体" w:hAnsi="宋体" w:cs="宋体"/>
          <w:bCs/>
          <w:sz w:val="28"/>
          <w:szCs w:val="28"/>
        </w:rPr>
      </w:pPr>
      <w:r>
        <w:rPr>
          <w:rFonts w:hint="eastAsia" w:ascii="宋体" w:hAnsi="宋体" w:cs="宋体"/>
          <w:bCs/>
          <w:sz w:val="28"/>
          <w:szCs w:val="28"/>
          <w:lang w:val="zh-CN"/>
        </w:rPr>
        <w:t>二、我方已完全理解谈判文件的全部内容，自愿接受并执行谈判文件的全部条款</w:t>
      </w:r>
      <w:r>
        <w:rPr>
          <w:rFonts w:hint="eastAsia" w:ascii="宋体" w:hAnsi="宋体" w:cs="宋体"/>
          <w:bCs/>
          <w:sz w:val="28"/>
          <w:szCs w:val="28"/>
        </w:rPr>
        <w:t>。</w:t>
      </w:r>
    </w:p>
    <w:p>
      <w:pPr>
        <w:tabs>
          <w:tab w:val="left" w:pos="1020"/>
        </w:tabs>
        <w:spacing w:line="500" w:lineRule="exact"/>
        <w:ind w:firstLine="560" w:firstLineChars="200"/>
        <w:rPr>
          <w:rFonts w:ascii="宋体" w:hAnsi="宋体" w:cs="宋体"/>
          <w:bCs/>
          <w:sz w:val="28"/>
          <w:szCs w:val="28"/>
        </w:rPr>
      </w:pPr>
      <w:r>
        <w:rPr>
          <w:rFonts w:hint="eastAsia" w:ascii="宋体" w:hAnsi="宋体" w:cs="宋体"/>
          <w:bCs/>
          <w:sz w:val="28"/>
          <w:szCs w:val="28"/>
        </w:rPr>
        <w:t>三、本报价</w:t>
      </w:r>
      <w:r>
        <w:rPr>
          <w:rFonts w:hint="eastAsia" w:ascii="宋体" w:hAnsi="宋体" w:cs="宋体"/>
          <w:bCs/>
          <w:sz w:val="28"/>
          <w:szCs w:val="28"/>
          <w:lang w:val="zh-CN"/>
        </w:rPr>
        <w:t>有效期自提交报价文件的截止之日起</w:t>
      </w:r>
      <w:r>
        <w:rPr>
          <w:rFonts w:hint="eastAsia" w:ascii="宋体" w:hAnsi="宋体" w:cs="宋体"/>
          <w:bCs/>
          <w:sz w:val="28"/>
          <w:szCs w:val="28"/>
          <w:u w:val="single"/>
          <w:lang w:val="zh-CN"/>
        </w:rPr>
        <w:t xml:space="preserve">     </w:t>
      </w:r>
      <w:r>
        <w:rPr>
          <w:rFonts w:hint="eastAsia" w:ascii="宋体" w:hAnsi="宋体" w:cs="宋体"/>
          <w:bCs/>
          <w:sz w:val="28"/>
          <w:szCs w:val="28"/>
          <w:lang w:val="zh-CN"/>
        </w:rPr>
        <w:t>日内有效</w:t>
      </w:r>
      <w:r>
        <w:rPr>
          <w:rFonts w:hint="eastAsia" w:ascii="宋体" w:hAnsi="宋体" w:cs="宋体"/>
          <w:bCs/>
          <w:sz w:val="28"/>
          <w:szCs w:val="28"/>
        </w:rPr>
        <w:t>。</w:t>
      </w:r>
    </w:p>
    <w:p>
      <w:pPr>
        <w:tabs>
          <w:tab w:val="left" w:pos="1020"/>
        </w:tabs>
        <w:spacing w:line="500" w:lineRule="exact"/>
        <w:ind w:firstLine="560" w:firstLineChars="200"/>
        <w:rPr>
          <w:rFonts w:ascii="宋体" w:hAnsi="宋体" w:cs="宋体"/>
          <w:bCs/>
          <w:snapToGrid w:val="0"/>
          <w:sz w:val="28"/>
          <w:szCs w:val="28"/>
          <w:lang w:val="zh-CN"/>
        </w:rPr>
      </w:pPr>
      <w:r>
        <w:rPr>
          <w:rFonts w:hint="eastAsia" w:ascii="宋体" w:hAnsi="宋体" w:cs="宋体"/>
          <w:bCs/>
          <w:snapToGrid w:val="0"/>
          <w:sz w:val="28"/>
          <w:szCs w:val="28"/>
          <w:lang w:val="zh-CN"/>
        </w:rPr>
        <w:t>四、我方在参与谈判前已仔细研究了谈判文件和所有相关</w:t>
      </w:r>
      <w:r>
        <w:rPr>
          <w:rFonts w:hint="eastAsia" w:ascii="宋体" w:hAnsi="宋体"/>
          <w:bCs/>
          <w:sz w:val="28"/>
          <w:szCs w:val="28"/>
        </w:rPr>
        <w:t>材料</w:t>
      </w:r>
      <w:r>
        <w:rPr>
          <w:rFonts w:hint="eastAsia" w:ascii="宋体" w:hAnsi="宋体" w:cs="宋体"/>
          <w:bCs/>
          <w:snapToGrid w:val="0"/>
          <w:sz w:val="28"/>
          <w:szCs w:val="28"/>
          <w:lang w:val="zh-CN"/>
        </w:rPr>
        <w:t>，同意谈判文件的相关条款。</w:t>
      </w:r>
    </w:p>
    <w:p>
      <w:pPr>
        <w:tabs>
          <w:tab w:val="left" w:pos="1020"/>
        </w:tabs>
        <w:spacing w:line="500" w:lineRule="exact"/>
        <w:ind w:firstLine="560" w:firstLineChars="200"/>
        <w:rPr>
          <w:rFonts w:ascii="宋体" w:hAnsi="宋体" w:cs="宋体"/>
          <w:bCs/>
          <w:sz w:val="28"/>
          <w:szCs w:val="28"/>
        </w:rPr>
      </w:pPr>
      <w:r>
        <w:rPr>
          <w:rFonts w:hint="eastAsia" w:ascii="宋体" w:hAnsi="宋体" w:cs="宋体"/>
          <w:bCs/>
          <w:sz w:val="28"/>
          <w:szCs w:val="28"/>
        </w:rPr>
        <w:t>五、我方声明提供的报价文件及一切</w:t>
      </w:r>
      <w:r>
        <w:rPr>
          <w:rFonts w:hint="eastAsia" w:ascii="宋体" w:hAnsi="宋体"/>
          <w:bCs/>
          <w:sz w:val="28"/>
          <w:szCs w:val="28"/>
        </w:rPr>
        <w:t>材料</w:t>
      </w:r>
      <w:r>
        <w:rPr>
          <w:rFonts w:hint="eastAsia" w:ascii="宋体" w:hAnsi="宋体" w:cs="宋体"/>
          <w:bCs/>
          <w:sz w:val="28"/>
          <w:szCs w:val="28"/>
        </w:rPr>
        <w:t>和承诺均真实有效。由于我方提供</w:t>
      </w:r>
      <w:r>
        <w:rPr>
          <w:rFonts w:hint="eastAsia" w:ascii="宋体" w:hAnsi="宋体"/>
          <w:bCs/>
          <w:sz w:val="28"/>
          <w:szCs w:val="28"/>
        </w:rPr>
        <w:t>材料</w:t>
      </w:r>
      <w:r>
        <w:rPr>
          <w:rFonts w:hint="eastAsia" w:ascii="宋体" w:hAnsi="宋体" w:cs="宋体"/>
          <w:bCs/>
          <w:sz w:val="28"/>
          <w:szCs w:val="28"/>
        </w:rPr>
        <w:t>不实而造成的责任和后果由我方承担。我方同意按照贵部要求，提供与谈判有关数据或信息。我方承诺完全按照谈判文件有关内容履约。</w:t>
      </w:r>
    </w:p>
    <w:p>
      <w:pPr>
        <w:tabs>
          <w:tab w:val="left" w:pos="1020"/>
        </w:tabs>
        <w:spacing w:line="500" w:lineRule="exact"/>
        <w:ind w:firstLine="560" w:firstLineChars="200"/>
        <w:rPr>
          <w:rFonts w:ascii="宋体" w:hAnsi="宋体" w:cs="宋体"/>
          <w:bCs/>
          <w:sz w:val="28"/>
          <w:szCs w:val="28"/>
        </w:rPr>
      </w:pPr>
      <w:r>
        <w:rPr>
          <w:rFonts w:hint="eastAsia" w:ascii="宋体" w:hAnsi="宋体" w:cs="宋体"/>
          <w:bCs/>
          <w:sz w:val="28"/>
          <w:szCs w:val="28"/>
        </w:rPr>
        <w:t>六、我方承诺自愿遵守、执行军队采购政策法规。</w:t>
      </w:r>
    </w:p>
    <w:p>
      <w:pPr>
        <w:tabs>
          <w:tab w:val="left" w:pos="1020"/>
        </w:tabs>
        <w:spacing w:line="500" w:lineRule="exact"/>
        <w:ind w:firstLine="560" w:firstLineChars="200"/>
        <w:rPr>
          <w:rFonts w:ascii="宋体" w:hAnsi="宋体" w:cs="宋体"/>
          <w:bCs/>
          <w:sz w:val="28"/>
          <w:szCs w:val="28"/>
        </w:rPr>
      </w:pPr>
      <w:r>
        <w:rPr>
          <w:rFonts w:hint="eastAsia" w:ascii="宋体" w:hAnsi="宋体" w:cs="宋体"/>
          <w:bCs/>
          <w:sz w:val="28"/>
          <w:szCs w:val="28"/>
        </w:rPr>
        <w:t>七、联系方式</w:t>
      </w:r>
    </w:p>
    <w:p>
      <w:pPr>
        <w:spacing w:line="500" w:lineRule="exact"/>
        <w:ind w:firstLine="560" w:firstLineChars="200"/>
        <w:rPr>
          <w:rFonts w:ascii="宋体" w:hAnsi="宋体" w:cs="宋体"/>
          <w:bCs/>
          <w:sz w:val="28"/>
          <w:szCs w:val="28"/>
        </w:rPr>
      </w:pPr>
      <w:r>
        <w:rPr>
          <w:rFonts w:hint="eastAsia" w:ascii="宋体" w:hAnsi="宋体" w:cs="宋体"/>
          <w:bCs/>
          <w:sz w:val="28"/>
          <w:szCs w:val="28"/>
        </w:rPr>
        <w:t>联 系 人：</w:t>
      </w:r>
      <w:r>
        <w:rPr>
          <w:rFonts w:hint="eastAsia" w:ascii="宋体" w:hAnsi="宋体" w:cs="宋体"/>
          <w:bCs/>
          <w:sz w:val="28"/>
          <w:szCs w:val="28"/>
          <w:u w:val="single"/>
        </w:rPr>
        <w:t xml:space="preserve">        </w:t>
      </w:r>
      <w:r>
        <w:rPr>
          <w:rFonts w:hint="eastAsia" w:ascii="宋体" w:hAnsi="宋体" w:cs="宋体"/>
          <w:bCs/>
          <w:sz w:val="28"/>
          <w:szCs w:val="28"/>
        </w:rPr>
        <w:t xml:space="preserve">  电话：</w:t>
      </w:r>
      <w:r>
        <w:rPr>
          <w:rFonts w:hint="eastAsia" w:ascii="宋体" w:hAnsi="宋体" w:cs="宋体"/>
          <w:bCs/>
          <w:sz w:val="28"/>
          <w:szCs w:val="28"/>
          <w:u w:val="single"/>
        </w:rPr>
        <w:t xml:space="preserve">        </w:t>
      </w:r>
      <w:r>
        <w:rPr>
          <w:rFonts w:hint="eastAsia" w:ascii="宋体" w:hAnsi="宋体" w:cs="宋体"/>
          <w:bCs/>
          <w:sz w:val="28"/>
          <w:szCs w:val="28"/>
        </w:rPr>
        <w:t>传真：</w:t>
      </w:r>
      <w:r>
        <w:rPr>
          <w:rFonts w:hint="eastAsia" w:ascii="宋体" w:hAnsi="宋体" w:cs="宋体"/>
          <w:bCs/>
          <w:sz w:val="28"/>
          <w:szCs w:val="28"/>
          <w:u w:val="single"/>
        </w:rPr>
        <w:t xml:space="preserve">        </w:t>
      </w:r>
    </w:p>
    <w:p>
      <w:pPr>
        <w:spacing w:line="500" w:lineRule="exact"/>
        <w:ind w:firstLine="560" w:firstLineChars="200"/>
        <w:rPr>
          <w:rFonts w:ascii="宋体" w:hAnsi="宋体" w:cs="宋体"/>
          <w:bCs/>
          <w:sz w:val="28"/>
          <w:szCs w:val="28"/>
        </w:rPr>
      </w:pPr>
      <w:r>
        <w:rPr>
          <w:rFonts w:hint="eastAsia" w:ascii="宋体" w:hAnsi="宋体" w:cs="宋体"/>
          <w:bCs/>
          <w:sz w:val="28"/>
          <w:szCs w:val="28"/>
        </w:rPr>
        <w:t>地    址：</w:t>
      </w:r>
      <w:r>
        <w:rPr>
          <w:rFonts w:hint="eastAsia" w:ascii="宋体" w:hAnsi="宋体" w:cs="宋体"/>
          <w:bCs/>
          <w:sz w:val="28"/>
          <w:szCs w:val="28"/>
          <w:u w:val="single"/>
        </w:rPr>
        <w:t xml:space="preserve">                  </w:t>
      </w:r>
      <w:r>
        <w:rPr>
          <w:rFonts w:hint="eastAsia" w:ascii="宋体" w:hAnsi="宋体" w:cs="宋体"/>
          <w:bCs/>
          <w:sz w:val="28"/>
          <w:szCs w:val="28"/>
        </w:rPr>
        <w:t xml:space="preserve">  邮政编码：</w:t>
      </w:r>
      <w:r>
        <w:rPr>
          <w:rFonts w:hint="eastAsia" w:ascii="宋体" w:hAnsi="宋体" w:cs="宋体"/>
          <w:bCs/>
          <w:sz w:val="28"/>
          <w:szCs w:val="28"/>
          <w:u w:val="single"/>
        </w:rPr>
        <w:t xml:space="preserve">        </w:t>
      </w:r>
    </w:p>
    <w:p>
      <w:pPr>
        <w:spacing w:line="500" w:lineRule="exact"/>
        <w:ind w:firstLine="560" w:firstLineChars="200"/>
        <w:rPr>
          <w:rFonts w:ascii="宋体" w:hAnsi="宋体" w:cs="宋体"/>
          <w:bCs/>
          <w:sz w:val="28"/>
          <w:szCs w:val="28"/>
        </w:rPr>
      </w:pPr>
      <w:r>
        <w:rPr>
          <w:rFonts w:hint="eastAsia" w:ascii="宋体" w:hAnsi="宋体" w:cs="宋体"/>
          <w:bCs/>
          <w:sz w:val="28"/>
          <w:szCs w:val="28"/>
        </w:rPr>
        <w:t>开户名称：</w:t>
      </w:r>
      <w:r>
        <w:rPr>
          <w:rFonts w:hint="eastAsia" w:ascii="宋体" w:hAnsi="宋体" w:cs="宋体"/>
          <w:bCs/>
          <w:sz w:val="28"/>
          <w:szCs w:val="28"/>
          <w:u w:val="single"/>
        </w:rPr>
        <w:t xml:space="preserve">                  </w:t>
      </w:r>
    </w:p>
    <w:p>
      <w:pPr>
        <w:spacing w:line="500" w:lineRule="exact"/>
        <w:ind w:firstLine="560" w:firstLineChars="200"/>
        <w:rPr>
          <w:rFonts w:ascii="宋体" w:hAnsi="宋体" w:cs="宋体"/>
          <w:bCs/>
          <w:sz w:val="28"/>
          <w:szCs w:val="28"/>
        </w:rPr>
      </w:pPr>
      <w:r>
        <w:rPr>
          <w:rFonts w:hint="eastAsia" w:ascii="宋体" w:hAnsi="宋体" w:cs="宋体"/>
          <w:bCs/>
          <w:sz w:val="28"/>
          <w:szCs w:val="28"/>
        </w:rPr>
        <w:t>开户银行：</w:t>
      </w:r>
      <w:r>
        <w:rPr>
          <w:rFonts w:hint="eastAsia" w:ascii="宋体" w:hAnsi="宋体" w:cs="宋体"/>
          <w:bCs/>
          <w:sz w:val="28"/>
          <w:szCs w:val="28"/>
          <w:u w:val="single"/>
        </w:rPr>
        <w:t xml:space="preserve">                  </w:t>
      </w:r>
      <w:r>
        <w:rPr>
          <w:rFonts w:hint="eastAsia" w:ascii="宋体" w:hAnsi="宋体" w:cs="宋体"/>
          <w:bCs/>
          <w:sz w:val="28"/>
          <w:szCs w:val="28"/>
        </w:rPr>
        <w:t xml:space="preserve">                       </w:t>
      </w:r>
    </w:p>
    <w:p>
      <w:pPr>
        <w:spacing w:line="500" w:lineRule="exact"/>
        <w:ind w:firstLine="560" w:firstLineChars="200"/>
        <w:rPr>
          <w:rFonts w:ascii="宋体" w:hAnsi="宋体" w:cs="宋体"/>
          <w:bCs/>
          <w:sz w:val="28"/>
          <w:szCs w:val="28"/>
        </w:rPr>
      </w:pPr>
      <w:r>
        <w:rPr>
          <w:rFonts w:hint="eastAsia" w:ascii="宋体" w:hAnsi="宋体" w:cs="宋体"/>
          <w:bCs/>
          <w:sz w:val="28"/>
          <w:szCs w:val="28"/>
        </w:rPr>
        <w:t>银行账号：</w:t>
      </w:r>
      <w:r>
        <w:rPr>
          <w:rFonts w:hint="eastAsia" w:ascii="宋体" w:hAnsi="宋体" w:cs="宋体"/>
          <w:bCs/>
          <w:sz w:val="28"/>
          <w:szCs w:val="28"/>
          <w:u w:val="single"/>
        </w:rPr>
        <w:t xml:space="preserve">                  </w:t>
      </w:r>
      <w:r>
        <w:rPr>
          <w:rFonts w:hint="eastAsia" w:ascii="宋体" w:hAnsi="宋体" w:cs="宋体"/>
          <w:bCs/>
          <w:sz w:val="28"/>
          <w:szCs w:val="28"/>
        </w:rPr>
        <w:t xml:space="preserve">                        </w:t>
      </w:r>
    </w:p>
    <w:p>
      <w:pPr>
        <w:spacing w:line="500" w:lineRule="exact"/>
        <w:jc w:val="center"/>
        <w:rPr>
          <w:rFonts w:ascii="宋体" w:hAnsi="宋体" w:cs="宋体"/>
          <w:bCs/>
          <w:sz w:val="28"/>
          <w:szCs w:val="28"/>
          <w:lang w:val="zh-CN"/>
        </w:rPr>
      </w:pPr>
    </w:p>
    <w:p>
      <w:pPr>
        <w:spacing w:line="500" w:lineRule="exact"/>
        <w:jc w:val="center"/>
        <w:rPr>
          <w:rFonts w:ascii="宋体" w:hAnsi="宋体" w:cs="宋体"/>
          <w:bCs/>
          <w:sz w:val="28"/>
          <w:szCs w:val="28"/>
          <w:lang w:val="zh-CN"/>
        </w:rPr>
      </w:pPr>
      <w:r>
        <w:rPr>
          <w:rFonts w:ascii="宋体" w:hAnsi="宋体" w:cs="宋体"/>
          <w:bCs/>
          <w:sz w:val="28"/>
          <w:szCs w:val="28"/>
          <w:lang w:val="zh-CN"/>
        </w:rPr>
        <w:t xml:space="preserve">   </w:t>
      </w:r>
      <w:r>
        <w:rPr>
          <w:rFonts w:hint="eastAsia" w:ascii="宋体" w:hAnsi="宋体" w:cs="宋体"/>
          <w:bCs/>
          <w:sz w:val="28"/>
          <w:szCs w:val="28"/>
          <w:lang w:val="zh-CN"/>
        </w:rPr>
        <w:t xml:space="preserve"> </w:t>
      </w:r>
      <w:r>
        <w:rPr>
          <w:rFonts w:ascii="宋体" w:hAnsi="宋体" w:cs="宋体"/>
          <w:bCs/>
          <w:sz w:val="28"/>
          <w:szCs w:val="28"/>
          <w:lang w:val="zh-CN"/>
        </w:rPr>
        <w:t xml:space="preserve">     </w:t>
      </w:r>
      <w:r>
        <w:rPr>
          <w:rFonts w:hint="eastAsia" w:ascii="宋体" w:hAnsi="宋体" w:cs="宋体"/>
          <w:bCs/>
          <w:sz w:val="28"/>
          <w:szCs w:val="28"/>
          <w:lang w:val="zh-CN"/>
        </w:rPr>
        <w:t>报价供应商全称：（盖章）</w:t>
      </w:r>
    </w:p>
    <w:p>
      <w:pPr>
        <w:spacing w:line="500" w:lineRule="exact"/>
        <w:ind w:firstLine="560" w:firstLineChars="200"/>
        <w:jc w:val="center"/>
        <w:rPr>
          <w:rFonts w:ascii="宋体" w:hAnsi="宋体" w:cs="宋体"/>
          <w:bCs/>
          <w:sz w:val="28"/>
          <w:szCs w:val="28"/>
          <w:lang w:val="zh-CN"/>
        </w:rPr>
      </w:pPr>
      <w:r>
        <w:rPr>
          <w:rFonts w:hint="eastAsia" w:ascii="宋体" w:hAnsi="宋体" w:cs="宋体"/>
          <w:bCs/>
          <w:sz w:val="28"/>
          <w:szCs w:val="28"/>
          <w:lang w:val="zh-CN"/>
        </w:rPr>
        <w:t xml:space="preserve">              法定代表人（或授权代表）：（签字）</w:t>
      </w:r>
    </w:p>
    <w:p>
      <w:pPr>
        <w:spacing w:line="560" w:lineRule="exact"/>
        <w:ind w:firstLine="560" w:firstLineChars="200"/>
        <w:rPr>
          <w:rFonts w:ascii="宋体" w:hAnsi="宋体" w:cs="宋体"/>
          <w:bCs/>
          <w:sz w:val="28"/>
          <w:szCs w:val="28"/>
          <w:lang w:val="zh-CN"/>
        </w:rPr>
      </w:pPr>
      <w:r>
        <w:rPr>
          <w:rFonts w:hint="eastAsia" w:ascii="宋体" w:hAnsi="宋体" w:cs="宋体"/>
          <w:bCs/>
          <w:sz w:val="28"/>
          <w:szCs w:val="28"/>
          <w:lang w:val="zh-CN"/>
        </w:rPr>
        <w:t xml:space="preserve">                                        </w:t>
      </w:r>
      <w:r>
        <w:rPr>
          <w:rFonts w:hint="eastAsia" w:ascii="宋体" w:hAnsi="宋体" w:cs="宋体"/>
          <w:bCs/>
          <w:sz w:val="28"/>
          <w:szCs w:val="28"/>
          <w:u w:val="single"/>
        </w:rPr>
        <w:t xml:space="preserve">   </w:t>
      </w:r>
      <w:r>
        <w:rPr>
          <w:rFonts w:hint="eastAsia" w:ascii="宋体" w:hAnsi="宋体" w:cs="宋体"/>
          <w:bCs/>
          <w:sz w:val="28"/>
          <w:szCs w:val="28"/>
        </w:rPr>
        <w:t>年</w:t>
      </w:r>
      <w:r>
        <w:rPr>
          <w:rFonts w:hint="eastAsia" w:ascii="宋体" w:hAnsi="宋体" w:cs="宋体"/>
          <w:bCs/>
          <w:sz w:val="28"/>
          <w:szCs w:val="28"/>
          <w:u w:val="single"/>
        </w:rPr>
        <w:t xml:space="preserve">   </w:t>
      </w:r>
      <w:r>
        <w:rPr>
          <w:rFonts w:hint="eastAsia" w:ascii="宋体" w:hAnsi="宋体" w:cs="宋体"/>
          <w:bCs/>
          <w:sz w:val="28"/>
          <w:szCs w:val="28"/>
        </w:rPr>
        <w:t>月</w:t>
      </w:r>
      <w:r>
        <w:rPr>
          <w:rFonts w:hint="eastAsia" w:ascii="宋体" w:hAnsi="宋体" w:cs="宋体"/>
          <w:bCs/>
          <w:sz w:val="28"/>
          <w:szCs w:val="28"/>
          <w:u w:val="single"/>
        </w:rPr>
        <w:t xml:space="preserve">   </w:t>
      </w:r>
      <w:r>
        <w:rPr>
          <w:rFonts w:hint="eastAsia" w:ascii="宋体" w:hAnsi="宋体" w:cs="宋体"/>
          <w:bCs/>
          <w:sz w:val="28"/>
          <w:szCs w:val="28"/>
        </w:rPr>
        <w:t>日</w:t>
      </w:r>
    </w:p>
    <w:p>
      <w:pPr>
        <w:pStyle w:val="6"/>
        <w:spacing w:before="120" w:beforeLines="50" w:after="120" w:afterLines="50" w:line="560" w:lineRule="exact"/>
        <w:rPr>
          <w:rFonts w:ascii="宋体" w:hAnsi="宋体"/>
          <w:b w:val="0"/>
        </w:rPr>
      </w:pPr>
      <w:r>
        <w:rPr>
          <w:b w:val="0"/>
          <w:lang w:val="zh-CN"/>
        </w:rPr>
        <w:br w:type="page"/>
      </w:r>
      <w:bookmarkStart w:id="484" w:name="_Toc3905"/>
      <w:bookmarkStart w:id="485" w:name="_Toc2718"/>
      <w:bookmarkStart w:id="486" w:name="_Toc17366"/>
      <w:bookmarkStart w:id="487" w:name="_Toc112768467"/>
      <w:bookmarkStart w:id="488" w:name="_Toc18444"/>
      <w:bookmarkStart w:id="489" w:name="_Toc1860"/>
      <w:bookmarkStart w:id="490" w:name="_Toc112768466"/>
      <w:bookmarkStart w:id="491" w:name="_Toc25557"/>
      <w:bookmarkStart w:id="492" w:name="_Toc31085"/>
      <w:bookmarkStart w:id="493" w:name="_Toc4327"/>
      <w:bookmarkStart w:id="494" w:name="_Toc7432"/>
      <w:bookmarkStart w:id="495" w:name="_Toc19235"/>
      <w:r>
        <w:rPr>
          <w:rFonts w:hint="eastAsia"/>
          <w:b w:val="0"/>
        </w:rPr>
        <w:t>附件</w:t>
      </w:r>
      <w:r>
        <w:rPr>
          <w:b w:val="0"/>
        </w:rPr>
        <w:t>2-5</w:t>
      </w:r>
      <w:r>
        <w:rPr>
          <w:rFonts w:hint="eastAsia"/>
          <w:b w:val="0"/>
        </w:rPr>
        <w:t>商务条款响应偏离表</w:t>
      </w:r>
      <w:bookmarkEnd w:id="484"/>
      <w:bookmarkEnd w:id="485"/>
      <w:bookmarkEnd w:id="486"/>
      <w:bookmarkEnd w:id="487"/>
      <w:bookmarkEnd w:id="488"/>
      <w:bookmarkEnd w:id="489"/>
    </w:p>
    <w:p>
      <w:pPr>
        <w:spacing w:before="120" w:beforeLines="50" w:after="120" w:afterLines="50" w:line="560" w:lineRule="exact"/>
        <w:jc w:val="center"/>
        <w:rPr>
          <w:rFonts w:ascii="黑体" w:hAnsi="黑体" w:eastAsia="黑体"/>
          <w:bCs/>
          <w:sz w:val="36"/>
          <w:szCs w:val="36"/>
          <w:lang w:val="zh-CN"/>
        </w:rPr>
      </w:pPr>
      <w:r>
        <w:rPr>
          <w:rFonts w:hint="eastAsia" w:ascii="黑体" w:hAnsi="黑体" w:eastAsia="黑体"/>
          <w:bCs/>
          <w:sz w:val="36"/>
          <w:szCs w:val="36"/>
          <w:lang w:val="zh-CN"/>
        </w:rPr>
        <w:t>商务条款响应偏离</w:t>
      </w:r>
      <w:r>
        <w:rPr>
          <w:rFonts w:ascii="黑体" w:hAnsi="黑体" w:eastAsia="黑体"/>
          <w:bCs/>
          <w:sz w:val="36"/>
          <w:szCs w:val="36"/>
          <w:lang w:val="zh-CN"/>
        </w:rPr>
        <w:t>表</w:t>
      </w:r>
    </w:p>
    <w:p>
      <w:pPr>
        <w:spacing w:line="560" w:lineRule="exact"/>
        <w:jc w:val="left"/>
        <w:rPr>
          <w:bCs/>
          <w:sz w:val="28"/>
          <w:szCs w:val="28"/>
        </w:rPr>
      </w:pPr>
      <w:r>
        <w:rPr>
          <w:rFonts w:hint="eastAsia"/>
          <w:bCs/>
          <w:sz w:val="28"/>
          <w:szCs w:val="28"/>
        </w:rPr>
        <w:t>项目名称：</w:t>
      </w:r>
      <w:r>
        <w:rPr>
          <w:bCs/>
          <w:sz w:val="28"/>
          <w:szCs w:val="28"/>
          <w:u w:val="single"/>
        </w:rPr>
        <w:t xml:space="preserve">            </w:t>
      </w:r>
      <w:r>
        <w:rPr>
          <w:rFonts w:hint="eastAsia"/>
          <w:bCs/>
          <w:sz w:val="28"/>
          <w:szCs w:val="28"/>
        </w:rPr>
        <w:t xml:space="preserve">    项目编号：</w:t>
      </w:r>
      <w:r>
        <w:rPr>
          <w:bCs/>
          <w:sz w:val="28"/>
          <w:szCs w:val="28"/>
          <w:u w:val="single"/>
        </w:rPr>
        <w:t xml:space="preserve">          </w:t>
      </w:r>
      <w:r>
        <w:rPr>
          <w:rFonts w:hint="eastAsia"/>
          <w:bCs/>
          <w:sz w:val="28"/>
          <w:szCs w:val="28"/>
        </w:rPr>
        <w:t xml:space="preserve">   包号：</w:t>
      </w:r>
      <w:r>
        <w:rPr>
          <w:bCs/>
          <w:sz w:val="28"/>
          <w:szCs w:val="28"/>
          <w:u w:val="single"/>
        </w:rPr>
        <w:t xml:space="preserve">          </w:t>
      </w:r>
    </w:p>
    <w:tbl>
      <w:tblPr>
        <w:tblStyle w:val="44"/>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1701"/>
        <w:gridCol w:w="1276"/>
        <w:gridCol w:w="1134"/>
        <w:gridCol w:w="2171"/>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8" w:hRule="atLeast"/>
        </w:trPr>
        <w:tc>
          <w:tcPr>
            <w:tcW w:w="709" w:type="dxa"/>
            <w:tcBorders>
              <w:top w:val="single" w:color="auto" w:sz="4" w:space="0"/>
              <w:left w:val="single" w:color="auto" w:sz="4" w:space="0"/>
              <w:right w:val="single" w:color="auto" w:sz="4" w:space="0"/>
            </w:tcBorders>
            <w:vAlign w:val="center"/>
          </w:tcPr>
          <w:p>
            <w:pPr>
              <w:widowControl/>
              <w:jc w:val="center"/>
              <w:rPr>
                <w:rFonts w:ascii="宋体" w:hAnsi="宋体" w:cs="宋体"/>
                <w:bCs/>
                <w:sz w:val="24"/>
              </w:rPr>
            </w:pPr>
            <w:r>
              <w:rPr>
                <w:rFonts w:hint="eastAsia" w:ascii="宋体" w:hAnsi="宋体" w:cs="宋体"/>
                <w:bCs/>
                <w:sz w:val="24"/>
              </w:rPr>
              <w:t>序号</w:t>
            </w:r>
          </w:p>
        </w:tc>
        <w:tc>
          <w:tcPr>
            <w:tcW w:w="1276" w:type="dxa"/>
            <w:tcBorders>
              <w:top w:val="single" w:color="auto" w:sz="4" w:space="0"/>
              <w:left w:val="single" w:color="auto" w:sz="4" w:space="0"/>
              <w:right w:val="single" w:color="auto" w:sz="4" w:space="0"/>
            </w:tcBorders>
            <w:vAlign w:val="center"/>
          </w:tcPr>
          <w:p>
            <w:pPr>
              <w:widowControl/>
              <w:jc w:val="center"/>
              <w:rPr>
                <w:rFonts w:ascii="宋体" w:hAnsi="宋体" w:cs="宋体"/>
                <w:bCs/>
                <w:sz w:val="24"/>
              </w:rPr>
            </w:pPr>
            <w:r>
              <w:rPr>
                <w:rFonts w:hint="eastAsia" w:ascii="宋体" w:hAnsi="宋体" w:cs="宋体"/>
                <w:bCs/>
                <w:sz w:val="24"/>
              </w:rPr>
              <w:t>评审项目</w:t>
            </w:r>
          </w:p>
        </w:tc>
        <w:tc>
          <w:tcPr>
            <w:tcW w:w="1701" w:type="dxa"/>
            <w:tcBorders>
              <w:top w:val="single" w:color="auto" w:sz="4" w:space="0"/>
              <w:left w:val="single" w:color="auto" w:sz="4" w:space="0"/>
              <w:right w:val="single" w:color="auto" w:sz="4" w:space="0"/>
            </w:tcBorders>
            <w:vAlign w:val="center"/>
          </w:tcPr>
          <w:p>
            <w:pPr>
              <w:widowControl/>
              <w:jc w:val="center"/>
              <w:rPr>
                <w:rFonts w:ascii="宋体" w:hAnsi="宋体" w:cs="宋体"/>
                <w:bCs/>
                <w:sz w:val="24"/>
              </w:rPr>
            </w:pPr>
            <w:r>
              <w:rPr>
                <w:rFonts w:hint="eastAsia" w:ascii="宋体" w:hAnsi="宋体" w:cs="宋体"/>
                <w:bCs/>
                <w:sz w:val="24"/>
              </w:rPr>
              <w:t>商务评审要求</w:t>
            </w:r>
          </w:p>
        </w:tc>
        <w:tc>
          <w:tcPr>
            <w:tcW w:w="1276" w:type="dxa"/>
            <w:tcBorders>
              <w:top w:val="single" w:color="auto" w:sz="4" w:space="0"/>
              <w:left w:val="single" w:color="auto" w:sz="4" w:space="0"/>
              <w:right w:val="single" w:color="auto" w:sz="4" w:space="0"/>
            </w:tcBorders>
            <w:vAlign w:val="center"/>
          </w:tcPr>
          <w:p>
            <w:pPr>
              <w:widowControl/>
              <w:jc w:val="center"/>
              <w:rPr>
                <w:rFonts w:ascii="宋体" w:hAnsi="宋体" w:cs="宋体"/>
                <w:bCs/>
                <w:sz w:val="24"/>
              </w:rPr>
            </w:pPr>
            <w:r>
              <w:rPr>
                <w:rFonts w:hint="eastAsia" w:ascii="宋体" w:hAnsi="宋体" w:cs="宋体"/>
                <w:bCs/>
                <w:sz w:val="24"/>
              </w:rPr>
              <w:t>商务响应</w:t>
            </w:r>
          </w:p>
        </w:tc>
        <w:tc>
          <w:tcPr>
            <w:tcW w:w="1134" w:type="dxa"/>
            <w:tcBorders>
              <w:top w:val="single" w:color="auto" w:sz="4" w:space="0"/>
              <w:left w:val="single" w:color="auto" w:sz="4" w:space="0"/>
              <w:right w:val="single" w:color="auto" w:sz="4" w:space="0"/>
            </w:tcBorders>
            <w:vAlign w:val="center"/>
          </w:tcPr>
          <w:p>
            <w:pPr>
              <w:widowControl/>
              <w:jc w:val="center"/>
              <w:rPr>
                <w:rFonts w:ascii="宋体" w:hAnsi="宋体" w:cs="宋体"/>
                <w:bCs/>
                <w:sz w:val="24"/>
              </w:rPr>
            </w:pPr>
            <w:r>
              <w:rPr>
                <w:rFonts w:hint="eastAsia" w:ascii="宋体" w:hAnsi="宋体" w:cs="宋体"/>
                <w:bCs/>
                <w:sz w:val="24"/>
              </w:rPr>
              <w:t>偏离度</w:t>
            </w:r>
          </w:p>
        </w:tc>
        <w:tc>
          <w:tcPr>
            <w:tcW w:w="2171" w:type="dxa"/>
            <w:tcBorders>
              <w:top w:val="single" w:color="auto" w:sz="4" w:space="0"/>
              <w:left w:val="single" w:color="auto" w:sz="4" w:space="0"/>
              <w:right w:val="single" w:color="auto" w:sz="4" w:space="0"/>
            </w:tcBorders>
            <w:vAlign w:val="center"/>
          </w:tcPr>
          <w:p>
            <w:pPr>
              <w:widowControl/>
              <w:jc w:val="center"/>
              <w:rPr>
                <w:rFonts w:ascii="宋体" w:hAnsi="宋体" w:cs="宋体"/>
                <w:bCs/>
                <w:sz w:val="24"/>
              </w:rPr>
            </w:pPr>
            <w:r>
              <w:rPr>
                <w:rFonts w:hint="eastAsia"/>
                <w:bCs/>
                <w:sz w:val="24"/>
              </w:rPr>
              <w:t>文件名称∕页码</w:t>
            </w:r>
          </w:p>
        </w:tc>
        <w:tc>
          <w:tcPr>
            <w:tcW w:w="1089" w:type="dxa"/>
            <w:tcBorders>
              <w:top w:val="single" w:color="auto" w:sz="4" w:space="0"/>
              <w:left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701"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2171" w:type="dxa"/>
            <w:tcBorders>
              <w:top w:val="single" w:color="auto" w:sz="4" w:space="0"/>
              <w:left w:val="single" w:color="auto" w:sz="4" w:space="0"/>
              <w:bottom w:val="single" w:color="auto" w:sz="4" w:space="0"/>
              <w:right w:val="single" w:color="auto" w:sz="4" w:space="0"/>
            </w:tcBorders>
          </w:tcPr>
          <w:p>
            <w:pPr>
              <w:rPr>
                <w:bCs/>
                <w:sz w:val="24"/>
              </w:rPr>
            </w:pPr>
          </w:p>
        </w:tc>
        <w:tc>
          <w:tcPr>
            <w:tcW w:w="1089"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701"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2171" w:type="dxa"/>
            <w:tcBorders>
              <w:top w:val="single" w:color="auto" w:sz="4" w:space="0"/>
              <w:left w:val="single" w:color="auto" w:sz="4" w:space="0"/>
              <w:bottom w:val="single" w:color="auto" w:sz="4" w:space="0"/>
              <w:right w:val="single" w:color="auto" w:sz="4" w:space="0"/>
            </w:tcBorders>
          </w:tcPr>
          <w:p>
            <w:pPr>
              <w:rPr>
                <w:bCs/>
                <w:sz w:val="24"/>
              </w:rPr>
            </w:pPr>
          </w:p>
        </w:tc>
        <w:tc>
          <w:tcPr>
            <w:tcW w:w="1089"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701"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2171" w:type="dxa"/>
            <w:tcBorders>
              <w:top w:val="single" w:color="auto" w:sz="4" w:space="0"/>
              <w:left w:val="single" w:color="auto" w:sz="4" w:space="0"/>
              <w:bottom w:val="single" w:color="auto" w:sz="4" w:space="0"/>
              <w:right w:val="single" w:color="auto" w:sz="4" w:space="0"/>
            </w:tcBorders>
          </w:tcPr>
          <w:p>
            <w:pPr>
              <w:rPr>
                <w:bCs/>
                <w:sz w:val="24"/>
              </w:rPr>
            </w:pPr>
          </w:p>
        </w:tc>
        <w:tc>
          <w:tcPr>
            <w:tcW w:w="1089"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701"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2171" w:type="dxa"/>
            <w:tcBorders>
              <w:top w:val="single" w:color="auto" w:sz="4" w:space="0"/>
              <w:left w:val="single" w:color="auto" w:sz="4" w:space="0"/>
              <w:bottom w:val="single" w:color="auto" w:sz="4" w:space="0"/>
              <w:right w:val="single" w:color="auto" w:sz="4" w:space="0"/>
            </w:tcBorders>
          </w:tcPr>
          <w:p>
            <w:pPr>
              <w:rPr>
                <w:bCs/>
                <w:sz w:val="24"/>
              </w:rPr>
            </w:pPr>
          </w:p>
        </w:tc>
        <w:tc>
          <w:tcPr>
            <w:tcW w:w="1089"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701"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2171" w:type="dxa"/>
            <w:tcBorders>
              <w:top w:val="single" w:color="auto" w:sz="4" w:space="0"/>
              <w:left w:val="single" w:color="auto" w:sz="4" w:space="0"/>
              <w:bottom w:val="single" w:color="auto" w:sz="4" w:space="0"/>
              <w:right w:val="single" w:color="auto" w:sz="4" w:space="0"/>
            </w:tcBorders>
          </w:tcPr>
          <w:p>
            <w:pPr>
              <w:rPr>
                <w:bCs/>
                <w:sz w:val="24"/>
              </w:rPr>
            </w:pPr>
          </w:p>
        </w:tc>
        <w:tc>
          <w:tcPr>
            <w:tcW w:w="1089"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701"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2171" w:type="dxa"/>
            <w:tcBorders>
              <w:top w:val="single" w:color="auto" w:sz="4" w:space="0"/>
              <w:left w:val="single" w:color="auto" w:sz="4" w:space="0"/>
              <w:bottom w:val="single" w:color="auto" w:sz="4" w:space="0"/>
              <w:right w:val="single" w:color="auto" w:sz="4" w:space="0"/>
            </w:tcBorders>
          </w:tcPr>
          <w:p>
            <w:pPr>
              <w:rPr>
                <w:bCs/>
                <w:sz w:val="24"/>
              </w:rPr>
            </w:pPr>
          </w:p>
        </w:tc>
        <w:tc>
          <w:tcPr>
            <w:tcW w:w="1089"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7" w:hRule="exact"/>
        </w:trPr>
        <w:tc>
          <w:tcPr>
            <w:tcW w:w="9356" w:type="dxa"/>
            <w:gridSpan w:val="7"/>
            <w:tcBorders>
              <w:top w:val="single" w:color="auto" w:sz="4" w:space="0"/>
              <w:left w:val="single" w:color="auto" w:sz="4" w:space="0"/>
              <w:bottom w:val="single" w:color="auto" w:sz="4" w:space="0"/>
              <w:right w:val="single" w:color="auto" w:sz="4" w:space="0"/>
            </w:tcBorders>
            <w:vAlign w:val="center"/>
          </w:tcPr>
          <w:p>
            <w:pPr>
              <w:spacing w:before="120" w:beforeLines="50" w:line="276" w:lineRule="auto"/>
              <w:rPr>
                <w:bCs/>
                <w:sz w:val="24"/>
              </w:rPr>
            </w:pPr>
            <w:bookmarkStart w:id="496" w:name="_Hlk127259178"/>
            <w:r>
              <w:rPr>
                <w:rFonts w:hint="eastAsia"/>
                <w:sz w:val="24"/>
              </w:rPr>
              <w:t>说明：</w:t>
            </w:r>
            <w:r>
              <w:rPr>
                <w:rFonts w:hint="eastAsia"/>
                <w:bCs/>
                <w:sz w:val="24"/>
              </w:rPr>
              <w:t>报价供应商应当对照专用文件规定的商务要求，逐条如实填写所投物资的具体响应，注明无偏离、正偏离或负偏离，并在备注中注明偏离的具体内容。负偏离应当如实注明。本表中带“★”号条款出现负偏离，视为无效报价。</w:t>
            </w:r>
            <w:bookmarkEnd w:id="496"/>
          </w:p>
        </w:tc>
      </w:tr>
    </w:tbl>
    <w:p>
      <w:pPr>
        <w:ind w:firstLine="480" w:firstLineChars="200"/>
        <w:rPr>
          <w:rFonts w:ascii="宋体" w:hAnsi="宋体"/>
          <w:bCs/>
          <w:sz w:val="24"/>
        </w:rPr>
      </w:pPr>
    </w:p>
    <w:p>
      <w:pPr>
        <w:spacing w:line="560" w:lineRule="exact"/>
        <w:rPr>
          <w:bCs/>
          <w:sz w:val="24"/>
        </w:rPr>
      </w:pPr>
    </w:p>
    <w:p>
      <w:pPr>
        <w:spacing w:line="560" w:lineRule="exact"/>
        <w:ind w:firstLine="4314" w:firstLineChars="1541"/>
        <w:rPr>
          <w:bCs/>
          <w:sz w:val="28"/>
          <w:szCs w:val="28"/>
        </w:rPr>
      </w:pPr>
      <w:r>
        <w:rPr>
          <w:rFonts w:hint="eastAsia"/>
          <w:bCs/>
          <w:sz w:val="28"/>
          <w:szCs w:val="28"/>
        </w:rPr>
        <w:t>报价供应商全称：（盖章）</w:t>
      </w:r>
    </w:p>
    <w:p>
      <w:pPr>
        <w:spacing w:line="560" w:lineRule="exact"/>
        <w:ind w:left="3219" w:leftChars="1533" w:firstLine="1120" w:firstLineChars="400"/>
        <w:rPr>
          <w:bCs/>
          <w:sz w:val="28"/>
          <w:szCs w:val="28"/>
        </w:rPr>
      </w:pPr>
      <w:r>
        <w:rPr>
          <w:rFonts w:hint="eastAsia"/>
          <w:bCs/>
          <w:sz w:val="28"/>
          <w:szCs w:val="28"/>
        </w:rPr>
        <w:t>法定代表人（或授权代表）：（签字）</w:t>
      </w:r>
    </w:p>
    <w:p>
      <w:pPr>
        <w:spacing w:line="560" w:lineRule="exact"/>
        <w:ind w:firstLine="6440" w:firstLineChars="2300"/>
        <w:rPr>
          <w:bCs/>
          <w:sz w:val="28"/>
          <w:szCs w:val="28"/>
        </w:rPr>
      </w:pP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ind w:firstLine="560" w:firstLineChars="200"/>
        <w:rPr>
          <w:bCs/>
          <w:sz w:val="28"/>
          <w:szCs w:val="28"/>
        </w:rPr>
      </w:pPr>
      <w:r>
        <w:rPr>
          <w:rFonts w:hint="eastAsia"/>
          <w:bCs/>
          <w:sz w:val="28"/>
          <w:szCs w:val="28"/>
        </w:rPr>
        <w:br w:type="page"/>
      </w:r>
    </w:p>
    <w:p>
      <w:pPr>
        <w:pStyle w:val="6"/>
        <w:spacing w:before="120" w:beforeLines="50" w:after="120" w:afterLines="50" w:line="560" w:lineRule="exact"/>
        <w:rPr>
          <w:b w:val="0"/>
        </w:rPr>
      </w:pPr>
      <w:r>
        <w:rPr>
          <w:rFonts w:hint="eastAsia"/>
          <w:b w:val="0"/>
        </w:rPr>
        <w:t>附件</w:t>
      </w:r>
      <w:r>
        <w:rPr>
          <w:b w:val="0"/>
        </w:rPr>
        <w:t xml:space="preserve">2-6 </w:t>
      </w:r>
      <w:r>
        <w:rPr>
          <w:rFonts w:hint="eastAsia"/>
          <w:b w:val="0"/>
        </w:rPr>
        <w:t>技术指标参数响应偏离表</w:t>
      </w:r>
      <w:bookmarkEnd w:id="490"/>
      <w:bookmarkEnd w:id="491"/>
      <w:bookmarkEnd w:id="492"/>
      <w:bookmarkEnd w:id="493"/>
      <w:bookmarkEnd w:id="494"/>
      <w:bookmarkEnd w:id="495"/>
    </w:p>
    <w:p>
      <w:pPr>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技术指标参数响应偏离表</w:t>
      </w:r>
    </w:p>
    <w:p>
      <w:pPr>
        <w:rPr>
          <w:bCs/>
          <w:sz w:val="28"/>
          <w:szCs w:val="28"/>
        </w:rPr>
      </w:pPr>
      <w:r>
        <w:rPr>
          <w:rFonts w:hint="eastAsia"/>
          <w:bCs/>
          <w:sz w:val="28"/>
          <w:szCs w:val="28"/>
        </w:rPr>
        <w:t>项目名称：</w:t>
      </w:r>
      <w:r>
        <w:rPr>
          <w:rFonts w:ascii="宋体" w:hAnsi="宋体"/>
          <w:bCs/>
          <w:sz w:val="28"/>
          <w:szCs w:val="28"/>
          <w:u w:val="single"/>
        </w:rPr>
        <w:t xml:space="preserve">            </w:t>
      </w:r>
      <w:r>
        <w:rPr>
          <w:rFonts w:hint="eastAsia"/>
          <w:bCs/>
          <w:sz w:val="28"/>
          <w:szCs w:val="28"/>
        </w:rPr>
        <w:t xml:space="preserve"> 项目编号：</w:t>
      </w:r>
      <w:r>
        <w:rPr>
          <w:rFonts w:ascii="宋体" w:hAnsi="宋体"/>
          <w:bCs/>
          <w:sz w:val="28"/>
          <w:szCs w:val="28"/>
          <w:u w:val="single"/>
        </w:rPr>
        <w:t xml:space="preserve">            </w:t>
      </w:r>
      <w:r>
        <w:rPr>
          <w:rFonts w:hint="eastAsia"/>
          <w:bCs/>
          <w:sz w:val="28"/>
          <w:szCs w:val="28"/>
        </w:rPr>
        <w:t xml:space="preserve"> 包号：</w:t>
      </w:r>
      <w:r>
        <w:rPr>
          <w:rFonts w:ascii="宋体" w:hAnsi="宋体"/>
          <w:bCs/>
          <w:sz w:val="28"/>
          <w:szCs w:val="28"/>
          <w:u w:val="single"/>
        </w:rPr>
        <w:t xml:space="preserve">            </w:t>
      </w:r>
    </w:p>
    <w:tbl>
      <w:tblPr>
        <w:tblStyle w:val="44"/>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1701"/>
        <w:gridCol w:w="1701"/>
        <w:gridCol w:w="1134"/>
        <w:gridCol w:w="1909"/>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trPr>
        <w:tc>
          <w:tcPr>
            <w:tcW w:w="709" w:type="dxa"/>
            <w:tcBorders>
              <w:top w:val="single" w:color="auto" w:sz="4" w:space="0"/>
              <w:left w:val="single" w:color="auto" w:sz="4" w:space="0"/>
              <w:right w:val="single" w:color="auto" w:sz="4" w:space="0"/>
            </w:tcBorders>
            <w:vAlign w:val="center"/>
          </w:tcPr>
          <w:p>
            <w:pPr>
              <w:widowControl/>
              <w:jc w:val="center"/>
              <w:rPr>
                <w:rFonts w:ascii="宋体" w:hAnsi="宋体" w:cs="宋体"/>
                <w:bCs/>
                <w:sz w:val="24"/>
              </w:rPr>
            </w:pPr>
            <w:r>
              <w:rPr>
                <w:rFonts w:hint="eastAsia" w:ascii="宋体" w:hAnsi="宋体" w:cs="宋体"/>
                <w:bCs/>
                <w:sz w:val="24"/>
              </w:rPr>
              <w:t>序号</w:t>
            </w:r>
          </w:p>
        </w:tc>
        <w:tc>
          <w:tcPr>
            <w:tcW w:w="1276" w:type="dxa"/>
            <w:tcBorders>
              <w:top w:val="single" w:color="auto" w:sz="4" w:space="0"/>
              <w:left w:val="single" w:color="auto" w:sz="4" w:space="0"/>
              <w:right w:val="single" w:color="auto" w:sz="4" w:space="0"/>
            </w:tcBorders>
            <w:vAlign w:val="center"/>
          </w:tcPr>
          <w:p>
            <w:pPr>
              <w:widowControl/>
              <w:jc w:val="center"/>
              <w:rPr>
                <w:rFonts w:ascii="宋体" w:hAnsi="宋体" w:cs="宋体"/>
                <w:bCs/>
                <w:sz w:val="24"/>
              </w:rPr>
            </w:pPr>
            <w:r>
              <w:rPr>
                <w:rFonts w:hint="eastAsia" w:ascii="宋体" w:hAnsi="宋体" w:cs="宋体"/>
                <w:bCs/>
                <w:sz w:val="24"/>
              </w:rPr>
              <w:t>评审项目</w:t>
            </w:r>
          </w:p>
        </w:tc>
        <w:tc>
          <w:tcPr>
            <w:tcW w:w="1701" w:type="dxa"/>
            <w:tcBorders>
              <w:top w:val="single" w:color="auto" w:sz="4" w:space="0"/>
              <w:left w:val="single" w:color="auto" w:sz="4" w:space="0"/>
              <w:right w:val="single" w:color="auto" w:sz="4" w:space="0"/>
            </w:tcBorders>
            <w:vAlign w:val="center"/>
          </w:tcPr>
          <w:p>
            <w:pPr>
              <w:widowControl/>
              <w:jc w:val="center"/>
              <w:rPr>
                <w:rFonts w:ascii="宋体" w:hAnsi="宋体" w:cs="宋体"/>
                <w:bCs/>
                <w:sz w:val="24"/>
              </w:rPr>
            </w:pPr>
            <w:r>
              <w:rPr>
                <w:rFonts w:hint="eastAsia" w:ascii="宋体" w:hAnsi="宋体" w:cs="宋体"/>
                <w:bCs/>
                <w:sz w:val="24"/>
              </w:rPr>
              <w:t>技术评审要求</w:t>
            </w:r>
          </w:p>
        </w:tc>
        <w:tc>
          <w:tcPr>
            <w:tcW w:w="1701" w:type="dxa"/>
            <w:tcBorders>
              <w:top w:val="single" w:color="auto" w:sz="4" w:space="0"/>
              <w:left w:val="single" w:color="auto" w:sz="4" w:space="0"/>
              <w:right w:val="single" w:color="auto" w:sz="4" w:space="0"/>
            </w:tcBorders>
            <w:vAlign w:val="center"/>
          </w:tcPr>
          <w:p>
            <w:pPr>
              <w:widowControl/>
              <w:jc w:val="center"/>
              <w:rPr>
                <w:rFonts w:ascii="宋体" w:hAnsi="宋体" w:cs="宋体"/>
                <w:bCs/>
                <w:sz w:val="24"/>
              </w:rPr>
            </w:pPr>
            <w:r>
              <w:rPr>
                <w:rFonts w:hint="eastAsia" w:ascii="宋体" w:hAnsi="宋体" w:cs="宋体"/>
                <w:bCs/>
                <w:sz w:val="24"/>
              </w:rPr>
              <w:t>技术参数响应</w:t>
            </w:r>
          </w:p>
        </w:tc>
        <w:tc>
          <w:tcPr>
            <w:tcW w:w="1134" w:type="dxa"/>
            <w:tcBorders>
              <w:top w:val="single" w:color="auto" w:sz="4" w:space="0"/>
              <w:left w:val="single" w:color="auto" w:sz="4" w:space="0"/>
              <w:right w:val="single" w:color="auto" w:sz="4" w:space="0"/>
            </w:tcBorders>
            <w:vAlign w:val="center"/>
          </w:tcPr>
          <w:p>
            <w:pPr>
              <w:widowControl/>
              <w:jc w:val="center"/>
              <w:rPr>
                <w:rFonts w:ascii="宋体" w:hAnsi="宋体" w:cs="宋体"/>
                <w:bCs/>
                <w:sz w:val="24"/>
              </w:rPr>
            </w:pPr>
            <w:r>
              <w:rPr>
                <w:rFonts w:hint="eastAsia" w:ascii="宋体" w:hAnsi="宋体" w:cs="宋体"/>
                <w:bCs/>
                <w:sz w:val="24"/>
              </w:rPr>
              <w:t>偏离度</w:t>
            </w:r>
          </w:p>
        </w:tc>
        <w:tc>
          <w:tcPr>
            <w:tcW w:w="1909" w:type="dxa"/>
            <w:tcBorders>
              <w:top w:val="single" w:color="auto" w:sz="4" w:space="0"/>
              <w:left w:val="single" w:color="auto" w:sz="4" w:space="0"/>
              <w:right w:val="single" w:color="auto" w:sz="4" w:space="0"/>
            </w:tcBorders>
            <w:vAlign w:val="center"/>
          </w:tcPr>
          <w:p>
            <w:pPr>
              <w:widowControl/>
              <w:jc w:val="center"/>
              <w:rPr>
                <w:rFonts w:ascii="宋体" w:hAnsi="宋体" w:cs="宋体"/>
                <w:bCs/>
                <w:sz w:val="24"/>
              </w:rPr>
            </w:pPr>
            <w:r>
              <w:rPr>
                <w:rFonts w:hint="eastAsia"/>
                <w:bCs/>
                <w:sz w:val="24"/>
              </w:rPr>
              <w:t>文件名称∕页码</w:t>
            </w:r>
          </w:p>
        </w:tc>
        <w:tc>
          <w:tcPr>
            <w:tcW w:w="926" w:type="dxa"/>
            <w:tcBorders>
              <w:top w:val="single" w:color="auto" w:sz="4" w:space="0"/>
              <w:left w:val="single" w:color="auto" w:sz="4" w:space="0"/>
              <w:right w:val="single" w:color="auto" w:sz="4" w:space="0"/>
            </w:tcBorders>
            <w:vAlign w:val="center"/>
          </w:tcPr>
          <w:p>
            <w:pPr>
              <w:widowControl/>
              <w:jc w:val="center"/>
              <w:rPr>
                <w:rFonts w:ascii="宋体" w:hAnsi="宋体" w:cs="宋体"/>
                <w:bCs/>
                <w:sz w:val="24"/>
              </w:rPr>
            </w:pPr>
            <w:r>
              <w:rPr>
                <w:rFonts w:hint="eastAsia" w:ascii="宋体" w:hAnsi="宋体" w:cs="宋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701" w:type="dxa"/>
            <w:tcBorders>
              <w:top w:val="single" w:color="auto" w:sz="4" w:space="0"/>
              <w:left w:val="single" w:color="auto" w:sz="4" w:space="0"/>
              <w:bottom w:val="single" w:color="auto" w:sz="4" w:space="0"/>
              <w:right w:val="single" w:color="auto" w:sz="4" w:space="0"/>
            </w:tcBorders>
          </w:tcPr>
          <w:p>
            <w:pPr>
              <w:rPr>
                <w:bCs/>
                <w:sz w:val="24"/>
              </w:rPr>
            </w:pPr>
          </w:p>
        </w:tc>
        <w:tc>
          <w:tcPr>
            <w:tcW w:w="1701"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909" w:type="dxa"/>
            <w:tcBorders>
              <w:top w:val="single" w:color="auto" w:sz="4" w:space="0"/>
              <w:left w:val="single" w:color="auto" w:sz="4" w:space="0"/>
              <w:bottom w:val="single" w:color="auto" w:sz="4" w:space="0"/>
              <w:right w:val="single" w:color="auto" w:sz="4" w:space="0"/>
            </w:tcBorders>
          </w:tcPr>
          <w:p>
            <w:pPr>
              <w:rPr>
                <w:bCs/>
                <w:sz w:val="24"/>
              </w:rPr>
            </w:pPr>
          </w:p>
        </w:tc>
        <w:tc>
          <w:tcPr>
            <w:tcW w:w="926"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701" w:type="dxa"/>
            <w:tcBorders>
              <w:top w:val="single" w:color="auto" w:sz="4" w:space="0"/>
              <w:left w:val="single" w:color="auto" w:sz="4" w:space="0"/>
              <w:bottom w:val="single" w:color="auto" w:sz="4" w:space="0"/>
              <w:right w:val="single" w:color="auto" w:sz="4" w:space="0"/>
            </w:tcBorders>
          </w:tcPr>
          <w:p>
            <w:pPr>
              <w:rPr>
                <w:bCs/>
                <w:sz w:val="24"/>
              </w:rPr>
            </w:pPr>
          </w:p>
        </w:tc>
        <w:tc>
          <w:tcPr>
            <w:tcW w:w="1701"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909" w:type="dxa"/>
            <w:tcBorders>
              <w:top w:val="single" w:color="auto" w:sz="4" w:space="0"/>
              <w:left w:val="single" w:color="auto" w:sz="4" w:space="0"/>
              <w:bottom w:val="single" w:color="auto" w:sz="4" w:space="0"/>
              <w:right w:val="single" w:color="auto" w:sz="4" w:space="0"/>
            </w:tcBorders>
          </w:tcPr>
          <w:p>
            <w:pPr>
              <w:rPr>
                <w:bCs/>
                <w:sz w:val="24"/>
              </w:rPr>
            </w:pPr>
          </w:p>
        </w:tc>
        <w:tc>
          <w:tcPr>
            <w:tcW w:w="926"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701" w:type="dxa"/>
            <w:tcBorders>
              <w:top w:val="single" w:color="auto" w:sz="4" w:space="0"/>
              <w:left w:val="single" w:color="auto" w:sz="4" w:space="0"/>
              <w:bottom w:val="single" w:color="auto" w:sz="4" w:space="0"/>
              <w:right w:val="single" w:color="auto" w:sz="4" w:space="0"/>
            </w:tcBorders>
          </w:tcPr>
          <w:p>
            <w:pPr>
              <w:rPr>
                <w:bCs/>
                <w:sz w:val="24"/>
              </w:rPr>
            </w:pPr>
          </w:p>
        </w:tc>
        <w:tc>
          <w:tcPr>
            <w:tcW w:w="1701"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909" w:type="dxa"/>
            <w:tcBorders>
              <w:top w:val="single" w:color="auto" w:sz="4" w:space="0"/>
              <w:left w:val="single" w:color="auto" w:sz="4" w:space="0"/>
              <w:bottom w:val="single" w:color="auto" w:sz="4" w:space="0"/>
              <w:right w:val="single" w:color="auto" w:sz="4" w:space="0"/>
            </w:tcBorders>
          </w:tcPr>
          <w:p>
            <w:pPr>
              <w:rPr>
                <w:bCs/>
                <w:sz w:val="24"/>
              </w:rPr>
            </w:pPr>
          </w:p>
        </w:tc>
        <w:tc>
          <w:tcPr>
            <w:tcW w:w="926"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9" w:hRule="exact"/>
        </w:trPr>
        <w:tc>
          <w:tcPr>
            <w:tcW w:w="9356" w:type="dxa"/>
            <w:gridSpan w:val="7"/>
            <w:tcBorders>
              <w:top w:val="single" w:color="auto" w:sz="4" w:space="0"/>
              <w:left w:val="single" w:color="auto" w:sz="4" w:space="0"/>
              <w:bottom w:val="single" w:color="auto" w:sz="4" w:space="0"/>
              <w:right w:val="single" w:color="auto" w:sz="4" w:space="0"/>
            </w:tcBorders>
          </w:tcPr>
          <w:p>
            <w:pPr>
              <w:spacing w:line="276" w:lineRule="auto"/>
              <w:rPr>
                <w:bCs/>
                <w:sz w:val="24"/>
              </w:rPr>
            </w:pPr>
            <w:r>
              <w:rPr>
                <w:rFonts w:hint="eastAsia"/>
                <w:bCs/>
                <w:sz w:val="24"/>
              </w:rPr>
              <w:t>说明：报价供应商应对照专用文件技术要求，逐条如实填写所投物资的具体技术评审参数，注明无偏离、正偏离或负偏离，并在备注中注明偏离的具体内容。技术指标参数响应栏如果原文完全复制谈判文件技术要求，作无效报价处理。负偏离应当如实注明。本表中带“★”号条款出现负偏离，视为无效报价。</w:t>
            </w:r>
          </w:p>
        </w:tc>
      </w:tr>
    </w:tbl>
    <w:p>
      <w:pPr>
        <w:rPr>
          <w:bCs/>
        </w:rPr>
      </w:pPr>
    </w:p>
    <w:p>
      <w:pPr>
        <w:rPr>
          <w:bCs/>
        </w:rPr>
      </w:pPr>
    </w:p>
    <w:p>
      <w:pPr>
        <w:rPr>
          <w:bCs/>
        </w:rPr>
      </w:pPr>
    </w:p>
    <w:p>
      <w:pPr>
        <w:spacing w:line="360" w:lineRule="auto"/>
        <w:rPr>
          <w:bCs/>
        </w:rPr>
      </w:pPr>
      <w:bookmarkStart w:id="497" w:name="_Toc31198"/>
      <w:bookmarkStart w:id="498" w:name="_Toc9609"/>
      <w:bookmarkStart w:id="499" w:name="_Toc15352"/>
      <w:bookmarkStart w:id="500" w:name="_Toc112768470"/>
      <w:bookmarkStart w:id="501" w:name="_Toc23421"/>
      <w:bookmarkStart w:id="502" w:name="_Toc17357"/>
      <w:bookmarkStart w:id="503" w:name="_Toc14714"/>
      <w:bookmarkStart w:id="504" w:name="_Toc15416"/>
      <w:bookmarkStart w:id="505" w:name="_Toc29226"/>
      <w:bookmarkStart w:id="506" w:name="_Toc5827"/>
      <w:bookmarkStart w:id="507" w:name="_Toc112768468"/>
      <w:bookmarkStart w:id="508" w:name="_Toc11622"/>
    </w:p>
    <w:p>
      <w:pPr>
        <w:spacing w:line="360" w:lineRule="auto"/>
        <w:jc w:val="center"/>
        <w:rPr>
          <w:bCs/>
          <w:sz w:val="28"/>
          <w:szCs w:val="28"/>
          <w:lang w:val="zh-CN"/>
        </w:rPr>
      </w:pPr>
      <w:r>
        <w:rPr>
          <w:bCs/>
          <w:sz w:val="28"/>
          <w:szCs w:val="28"/>
          <w:lang w:val="zh-CN"/>
        </w:rPr>
        <w:t xml:space="preserve">                 </w:t>
      </w:r>
      <w:r>
        <w:rPr>
          <w:rFonts w:hint="eastAsia"/>
          <w:bCs/>
          <w:sz w:val="28"/>
          <w:szCs w:val="28"/>
          <w:lang w:val="zh-CN"/>
        </w:rPr>
        <w:t>报价供应商全称：（盖章）</w:t>
      </w:r>
    </w:p>
    <w:p>
      <w:pPr>
        <w:spacing w:line="360" w:lineRule="auto"/>
        <w:ind w:firstLine="560" w:firstLineChars="200"/>
        <w:jc w:val="center"/>
        <w:rPr>
          <w:bCs/>
          <w:sz w:val="28"/>
          <w:szCs w:val="28"/>
          <w:lang w:val="zh-CN"/>
        </w:rPr>
      </w:pPr>
      <w:r>
        <w:rPr>
          <w:rFonts w:hint="eastAsia"/>
          <w:bCs/>
          <w:sz w:val="28"/>
          <w:szCs w:val="28"/>
          <w:lang w:val="zh-CN"/>
        </w:rPr>
        <w:t xml:space="preserve">             </w:t>
      </w:r>
      <w:r>
        <w:rPr>
          <w:bCs/>
          <w:sz w:val="28"/>
          <w:szCs w:val="28"/>
          <w:lang w:val="zh-CN"/>
        </w:rPr>
        <w:t xml:space="preserve">        </w:t>
      </w:r>
      <w:r>
        <w:rPr>
          <w:rFonts w:hint="eastAsia"/>
          <w:bCs/>
          <w:sz w:val="28"/>
          <w:szCs w:val="28"/>
          <w:lang w:val="zh-CN"/>
        </w:rPr>
        <w:t xml:space="preserve"> 法定代表人（或授权代表）：（签字）</w:t>
      </w:r>
    </w:p>
    <w:p>
      <w:pPr>
        <w:spacing w:line="360" w:lineRule="auto"/>
        <w:ind w:firstLine="560" w:firstLineChars="200"/>
        <w:jc w:val="center"/>
        <w:rPr>
          <w:bCs w:val="0"/>
        </w:rPr>
      </w:pPr>
      <w:r>
        <w:rPr>
          <w:bCs/>
          <w:sz w:val="28"/>
          <w:szCs w:val="28"/>
          <w:lang w:val="zh-CN"/>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rPr>
          <w:rFonts w:hint="eastAsia"/>
          <w:b w:val="0"/>
        </w:rPr>
      </w:pPr>
      <w:r>
        <w:rPr>
          <w:rFonts w:hint="eastAsia"/>
          <w:b w:val="0"/>
        </w:rPr>
        <w:br w:type="page"/>
      </w:r>
    </w:p>
    <w:p>
      <w:pPr>
        <w:pStyle w:val="6"/>
        <w:spacing w:before="120" w:beforeLines="50" w:after="120" w:afterLines="50" w:line="560" w:lineRule="exact"/>
        <w:rPr>
          <w:b w:val="0"/>
        </w:rPr>
      </w:pPr>
      <w:r>
        <w:rPr>
          <w:rFonts w:hint="eastAsia"/>
          <w:b w:val="0"/>
        </w:rPr>
        <w:t>附件2-</w:t>
      </w:r>
      <w:r>
        <w:rPr>
          <w:b w:val="0"/>
        </w:rPr>
        <w:t>7</w:t>
      </w:r>
      <w:r>
        <w:rPr>
          <w:rFonts w:hint="eastAsia"/>
          <w:b w:val="0"/>
        </w:rPr>
        <w:t>交货清单</w:t>
      </w:r>
    </w:p>
    <w:p>
      <w:pPr>
        <w:spacing w:before="120" w:beforeLines="50" w:after="120" w:afterLines="50" w:line="560" w:lineRule="exact"/>
        <w:jc w:val="center"/>
        <w:rPr>
          <w:rFonts w:ascii="黑体" w:hAnsi="黑体" w:eastAsia="黑体" w:cs="黑体"/>
          <w:bCs/>
          <w:sz w:val="36"/>
          <w:szCs w:val="36"/>
          <w:lang w:val="zh-CN"/>
        </w:rPr>
      </w:pPr>
      <w:r>
        <w:rPr>
          <w:rFonts w:ascii="黑体" w:hAnsi="黑体" w:eastAsia="黑体" w:cs="黑体"/>
          <w:bCs/>
          <w:sz w:val="36"/>
          <w:szCs w:val="36"/>
          <w:lang w:val="zh-CN"/>
        </w:rPr>
        <w:t>交货清单</w:t>
      </w:r>
    </w:p>
    <w:p>
      <w:pPr>
        <w:rPr>
          <w:snapToGrid w:val="0"/>
          <w:sz w:val="28"/>
          <w:szCs w:val="28"/>
          <w:lang w:val="zh-CN"/>
        </w:rPr>
      </w:pPr>
      <w:r>
        <w:rPr>
          <w:sz w:val="28"/>
          <w:szCs w:val="28"/>
        </w:rPr>
        <w:t>项目名称：</w:t>
      </w:r>
      <w:r>
        <w:rPr>
          <w:sz w:val="28"/>
          <w:szCs w:val="28"/>
          <w:u w:val="single"/>
        </w:rPr>
        <w:t xml:space="preserve">          </w:t>
      </w:r>
      <w:r>
        <w:rPr>
          <w:sz w:val="28"/>
          <w:szCs w:val="28"/>
        </w:rPr>
        <w:t xml:space="preserve">    项目编号：</w:t>
      </w:r>
      <w:r>
        <w:rPr>
          <w:sz w:val="28"/>
          <w:szCs w:val="28"/>
          <w:u w:val="single"/>
        </w:rPr>
        <w:t xml:space="preserve">            </w:t>
      </w:r>
      <w:r>
        <w:rPr>
          <w:sz w:val="28"/>
          <w:szCs w:val="28"/>
        </w:rPr>
        <w:t xml:space="preserve">   包号：</w:t>
      </w:r>
      <w:r>
        <w:rPr>
          <w:sz w:val="28"/>
          <w:szCs w:val="28"/>
          <w:u w:val="single"/>
        </w:rPr>
        <w:t xml:space="preserve">         </w:t>
      </w:r>
    </w:p>
    <w:tbl>
      <w:tblPr>
        <w:tblStyle w:val="44"/>
        <w:tblW w:w="94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31"/>
        <w:gridCol w:w="1316"/>
        <w:gridCol w:w="897"/>
        <w:gridCol w:w="1392"/>
        <w:gridCol w:w="822"/>
        <w:gridCol w:w="1052"/>
        <w:gridCol w:w="1125"/>
        <w:gridCol w:w="20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rPr>
                <w:sz w:val="24"/>
              </w:rPr>
            </w:pPr>
            <w:r>
              <w:rPr>
                <w:sz w:val="24"/>
              </w:rPr>
              <w:t>序号</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center"/>
              <w:rPr>
                <w:sz w:val="24"/>
              </w:rPr>
            </w:pPr>
            <w:r>
              <w:rPr>
                <w:rFonts w:hint="eastAsia"/>
                <w:sz w:val="24"/>
              </w:rPr>
              <w:t>物资名称</w:t>
            </w:r>
          </w:p>
        </w:tc>
        <w:tc>
          <w:tcPr>
            <w:tcW w:w="882" w:type="dxa"/>
            <w:tcBorders>
              <w:top w:val="single" w:color="000000" w:sz="4" w:space="0"/>
              <w:left w:val="single" w:color="000000" w:sz="4" w:space="0"/>
              <w:bottom w:val="single" w:color="000000" w:sz="4" w:space="0"/>
              <w:right w:val="single" w:color="000000" w:sz="4" w:space="0"/>
            </w:tcBorders>
            <w:vAlign w:val="center"/>
          </w:tcPr>
          <w:p>
            <w:pPr>
              <w:widowControl/>
              <w:jc w:val="center"/>
              <w:rPr>
                <w:sz w:val="24"/>
              </w:rPr>
            </w:pPr>
            <w:r>
              <w:rPr>
                <w:sz w:val="24"/>
              </w:rPr>
              <w:t>品牌</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center"/>
              <w:rPr>
                <w:sz w:val="24"/>
              </w:rPr>
            </w:pPr>
            <w:r>
              <w:rPr>
                <w:sz w:val="24"/>
              </w:rPr>
              <w:t>规格型号</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rPr>
                <w:sz w:val="24"/>
              </w:rPr>
            </w:pPr>
            <w:r>
              <w:rPr>
                <w:sz w:val="24"/>
              </w:rPr>
              <w:t>单位</w:t>
            </w:r>
          </w:p>
        </w:tc>
        <w:tc>
          <w:tcPr>
            <w:tcW w:w="1034" w:type="dxa"/>
            <w:tcBorders>
              <w:top w:val="single" w:color="000000" w:sz="4" w:space="0"/>
              <w:left w:val="single" w:color="auto" w:sz="4" w:space="0"/>
              <w:bottom w:val="single" w:color="000000" w:sz="4" w:space="0"/>
              <w:right w:val="single" w:color="auto" w:sz="4" w:space="0"/>
            </w:tcBorders>
            <w:vAlign w:val="center"/>
          </w:tcPr>
          <w:p>
            <w:pPr>
              <w:widowControl/>
              <w:jc w:val="center"/>
              <w:rPr>
                <w:sz w:val="24"/>
              </w:rPr>
            </w:pPr>
            <w:r>
              <w:rPr>
                <w:rFonts w:hint="eastAsia"/>
                <w:sz w:val="24"/>
              </w:rPr>
              <w:t>数量</w:t>
            </w:r>
          </w:p>
        </w:tc>
        <w:tc>
          <w:tcPr>
            <w:tcW w:w="1106" w:type="dxa"/>
            <w:tcBorders>
              <w:top w:val="single" w:color="000000" w:sz="4" w:space="0"/>
              <w:left w:val="single" w:color="auto" w:sz="4" w:space="0"/>
              <w:bottom w:val="single" w:color="000000" w:sz="4" w:space="0"/>
              <w:right w:val="single" w:color="000000" w:sz="4" w:space="0"/>
            </w:tcBorders>
            <w:vAlign w:val="center"/>
          </w:tcPr>
          <w:p>
            <w:pPr>
              <w:widowControl/>
              <w:jc w:val="center"/>
              <w:rPr>
                <w:sz w:val="24"/>
              </w:rPr>
            </w:pPr>
            <w:r>
              <w:rPr>
                <w:sz w:val="24"/>
              </w:rPr>
              <w:t>原产地</w:t>
            </w:r>
          </w:p>
        </w:tc>
        <w:tc>
          <w:tcPr>
            <w:tcW w:w="1995"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imes New Roman" w:hAnsi="Times New Roman" w:eastAsia="宋体" w:cs="Times New Roman"/>
                <w:sz w:val="24"/>
                <w:lang w:eastAsia="zh-CN"/>
              </w:rPr>
            </w:pPr>
            <w:r>
              <w:rPr>
                <w:rFonts w:hint="eastAsia" w:ascii="Times New Roman" w:hAnsi="Times New Roman" w:eastAsia="宋体" w:cs="Times New Roman"/>
                <w:sz w:val="24"/>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294"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882"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034" w:type="dxa"/>
            <w:tcBorders>
              <w:top w:val="single" w:color="000000" w:sz="4" w:space="0"/>
              <w:left w:val="single" w:color="auto" w:sz="4" w:space="0"/>
              <w:bottom w:val="single" w:color="000000" w:sz="4" w:space="0"/>
              <w:right w:val="single" w:color="auto" w:sz="4" w:space="0"/>
            </w:tcBorders>
          </w:tcPr>
          <w:p>
            <w:pPr>
              <w:jc w:val="center"/>
              <w:rPr>
                <w:snapToGrid w:val="0"/>
                <w:sz w:val="24"/>
              </w:rPr>
            </w:pPr>
          </w:p>
        </w:tc>
        <w:tc>
          <w:tcPr>
            <w:tcW w:w="1106" w:type="dxa"/>
            <w:tcBorders>
              <w:top w:val="single" w:color="000000" w:sz="4" w:space="0"/>
              <w:left w:val="single" w:color="auto" w:sz="4" w:space="0"/>
              <w:bottom w:val="single" w:color="000000" w:sz="4" w:space="0"/>
              <w:right w:val="single" w:color="000000" w:sz="4" w:space="0"/>
            </w:tcBorders>
            <w:vAlign w:val="center"/>
          </w:tcPr>
          <w:p>
            <w:pPr>
              <w:jc w:val="center"/>
              <w:rPr>
                <w:snapToGrid w:val="0"/>
                <w:sz w:val="24"/>
              </w:rPr>
            </w:pPr>
          </w:p>
        </w:tc>
        <w:tc>
          <w:tcPr>
            <w:tcW w:w="1995" w:type="dxa"/>
            <w:tcBorders>
              <w:top w:val="single" w:color="000000" w:sz="4" w:space="0"/>
              <w:left w:val="single" w:color="auto" w:sz="4" w:space="0"/>
              <w:bottom w:val="single" w:color="000000" w:sz="4" w:space="0"/>
              <w:right w:val="single" w:color="000000" w:sz="4" w:space="0"/>
            </w:tcBorders>
          </w:tcPr>
          <w:p>
            <w:pPr>
              <w:jc w:val="center"/>
              <w:rPr>
                <w:snapToGrid w:val="0"/>
                <w:sz w:val="24"/>
              </w:rPr>
            </w:pPr>
            <w:r>
              <w:rPr>
                <w:rFonts w:hint="eastAsia"/>
                <w:snapToGrid w:val="0"/>
                <w:color w:val="FF0000"/>
                <w:sz w:val="24"/>
              </w:rPr>
              <w:t>填写对应配置清单要求名称，如不一致请说明情况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294"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882"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034" w:type="dxa"/>
            <w:tcBorders>
              <w:top w:val="single" w:color="000000" w:sz="4" w:space="0"/>
              <w:left w:val="single" w:color="auto" w:sz="4" w:space="0"/>
              <w:bottom w:val="single" w:color="000000" w:sz="4" w:space="0"/>
              <w:right w:val="single" w:color="auto" w:sz="4" w:space="0"/>
            </w:tcBorders>
          </w:tcPr>
          <w:p>
            <w:pPr>
              <w:jc w:val="center"/>
              <w:rPr>
                <w:snapToGrid w:val="0"/>
                <w:sz w:val="24"/>
              </w:rPr>
            </w:pPr>
          </w:p>
        </w:tc>
        <w:tc>
          <w:tcPr>
            <w:tcW w:w="1106" w:type="dxa"/>
            <w:tcBorders>
              <w:top w:val="single" w:color="000000" w:sz="4" w:space="0"/>
              <w:left w:val="single" w:color="auto" w:sz="4" w:space="0"/>
              <w:bottom w:val="single" w:color="000000" w:sz="4" w:space="0"/>
              <w:right w:val="single" w:color="000000" w:sz="4" w:space="0"/>
            </w:tcBorders>
            <w:vAlign w:val="center"/>
          </w:tcPr>
          <w:p>
            <w:pPr>
              <w:jc w:val="center"/>
              <w:rPr>
                <w:snapToGrid w:val="0"/>
                <w:sz w:val="24"/>
              </w:rPr>
            </w:pPr>
          </w:p>
        </w:tc>
        <w:tc>
          <w:tcPr>
            <w:tcW w:w="1995" w:type="dxa"/>
            <w:tcBorders>
              <w:top w:val="single" w:color="000000" w:sz="4" w:space="0"/>
              <w:left w:val="single" w:color="auto" w:sz="4" w:space="0"/>
              <w:bottom w:val="single" w:color="000000" w:sz="4" w:space="0"/>
              <w:right w:val="single" w:color="000000" w:sz="4" w:space="0"/>
            </w:tcBorders>
          </w:tcPr>
          <w:p>
            <w:pPr>
              <w:jc w:val="center"/>
              <w:rPr>
                <w:rFonts w:ascii="Times New Roman" w:hAnsi="Times New Roman" w:eastAsia="宋体" w:cs="Times New Roman"/>
                <w:snapToGrid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294"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882"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034" w:type="dxa"/>
            <w:tcBorders>
              <w:top w:val="single" w:color="000000" w:sz="4" w:space="0"/>
              <w:left w:val="single" w:color="auto" w:sz="4" w:space="0"/>
              <w:bottom w:val="single" w:color="000000" w:sz="4" w:space="0"/>
              <w:right w:val="single" w:color="auto" w:sz="4" w:space="0"/>
            </w:tcBorders>
          </w:tcPr>
          <w:p>
            <w:pPr>
              <w:jc w:val="center"/>
              <w:rPr>
                <w:snapToGrid w:val="0"/>
                <w:sz w:val="24"/>
              </w:rPr>
            </w:pPr>
          </w:p>
        </w:tc>
        <w:tc>
          <w:tcPr>
            <w:tcW w:w="1106" w:type="dxa"/>
            <w:tcBorders>
              <w:top w:val="single" w:color="000000" w:sz="4" w:space="0"/>
              <w:left w:val="single" w:color="auto" w:sz="4" w:space="0"/>
              <w:bottom w:val="single" w:color="000000" w:sz="4" w:space="0"/>
              <w:right w:val="single" w:color="000000" w:sz="4" w:space="0"/>
            </w:tcBorders>
            <w:vAlign w:val="center"/>
          </w:tcPr>
          <w:p>
            <w:pPr>
              <w:jc w:val="center"/>
              <w:rPr>
                <w:snapToGrid w:val="0"/>
                <w:sz w:val="24"/>
              </w:rPr>
            </w:pPr>
          </w:p>
        </w:tc>
        <w:tc>
          <w:tcPr>
            <w:tcW w:w="1995" w:type="dxa"/>
            <w:tcBorders>
              <w:top w:val="single" w:color="000000" w:sz="4" w:space="0"/>
              <w:left w:val="single" w:color="auto" w:sz="4" w:space="0"/>
              <w:bottom w:val="single" w:color="000000" w:sz="4" w:space="0"/>
              <w:right w:val="single" w:color="000000" w:sz="4" w:space="0"/>
            </w:tcBorders>
          </w:tcPr>
          <w:p>
            <w:pPr>
              <w:jc w:val="center"/>
              <w:rPr>
                <w:rFonts w:ascii="Times New Roman" w:hAnsi="Times New Roman" w:eastAsia="宋体" w:cs="Times New Roman"/>
                <w:snapToGrid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294"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882"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034" w:type="dxa"/>
            <w:tcBorders>
              <w:top w:val="single" w:color="000000" w:sz="4" w:space="0"/>
              <w:left w:val="single" w:color="auto" w:sz="4" w:space="0"/>
              <w:bottom w:val="single" w:color="000000" w:sz="4" w:space="0"/>
              <w:right w:val="single" w:color="auto" w:sz="4" w:space="0"/>
            </w:tcBorders>
          </w:tcPr>
          <w:p>
            <w:pPr>
              <w:jc w:val="center"/>
              <w:rPr>
                <w:snapToGrid w:val="0"/>
                <w:sz w:val="24"/>
              </w:rPr>
            </w:pPr>
          </w:p>
        </w:tc>
        <w:tc>
          <w:tcPr>
            <w:tcW w:w="1106" w:type="dxa"/>
            <w:tcBorders>
              <w:top w:val="single" w:color="000000" w:sz="4" w:space="0"/>
              <w:left w:val="single" w:color="auto" w:sz="4" w:space="0"/>
              <w:bottom w:val="single" w:color="000000" w:sz="4" w:space="0"/>
              <w:right w:val="single" w:color="000000" w:sz="4" w:space="0"/>
            </w:tcBorders>
            <w:vAlign w:val="center"/>
          </w:tcPr>
          <w:p>
            <w:pPr>
              <w:jc w:val="center"/>
              <w:rPr>
                <w:snapToGrid w:val="0"/>
                <w:sz w:val="24"/>
              </w:rPr>
            </w:pPr>
          </w:p>
        </w:tc>
        <w:tc>
          <w:tcPr>
            <w:tcW w:w="1995" w:type="dxa"/>
            <w:tcBorders>
              <w:top w:val="single" w:color="000000" w:sz="4" w:space="0"/>
              <w:left w:val="single" w:color="auto" w:sz="4" w:space="0"/>
              <w:bottom w:val="single" w:color="000000" w:sz="4" w:space="0"/>
              <w:right w:val="single" w:color="000000" w:sz="4" w:space="0"/>
            </w:tcBorders>
          </w:tcPr>
          <w:p>
            <w:pPr>
              <w:jc w:val="center"/>
              <w:rPr>
                <w:rFonts w:ascii="Times New Roman" w:hAnsi="Times New Roman" w:eastAsia="宋体" w:cs="Times New Roman"/>
                <w:snapToGrid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294"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882"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034" w:type="dxa"/>
            <w:tcBorders>
              <w:top w:val="single" w:color="000000" w:sz="4" w:space="0"/>
              <w:left w:val="single" w:color="auto" w:sz="4" w:space="0"/>
              <w:bottom w:val="single" w:color="000000" w:sz="4" w:space="0"/>
              <w:right w:val="single" w:color="auto" w:sz="4" w:space="0"/>
            </w:tcBorders>
          </w:tcPr>
          <w:p>
            <w:pPr>
              <w:jc w:val="center"/>
              <w:rPr>
                <w:snapToGrid w:val="0"/>
                <w:sz w:val="24"/>
              </w:rPr>
            </w:pPr>
          </w:p>
        </w:tc>
        <w:tc>
          <w:tcPr>
            <w:tcW w:w="1106" w:type="dxa"/>
            <w:tcBorders>
              <w:top w:val="single" w:color="000000" w:sz="4" w:space="0"/>
              <w:left w:val="single" w:color="auto" w:sz="4" w:space="0"/>
              <w:bottom w:val="single" w:color="000000" w:sz="4" w:space="0"/>
              <w:right w:val="single" w:color="000000" w:sz="4" w:space="0"/>
            </w:tcBorders>
            <w:vAlign w:val="center"/>
          </w:tcPr>
          <w:p>
            <w:pPr>
              <w:jc w:val="center"/>
              <w:rPr>
                <w:snapToGrid w:val="0"/>
                <w:sz w:val="24"/>
              </w:rPr>
            </w:pPr>
          </w:p>
        </w:tc>
        <w:tc>
          <w:tcPr>
            <w:tcW w:w="1995" w:type="dxa"/>
            <w:tcBorders>
              <w:top w:val="single" w:color="000000" w:sz="4" w:space="0"/>
              <w:left w:val="single" w:color="auto" w:sz="4" w:space="0"/>
              <w:bottom w:val="single" w:color="000000" w:sz="4" w:space="0"/>
              <w:right w:val="single" w:color="000000" w:sz="4" w:space="0"/>
            </w:tcBorders>
          </w:tcPr>
          <w:p>
            <w:pPr>
              <w:jc w:val="center"/>
              <w:rPr>
                <w:rFonts w:ascii="Times New Roman" w:hAnsi="Times New Roman" w:eastAsia="宋体" w:cs="Times New Roman"/>
                <w:snapToGrid w:val="0"/>
                <w:sz w:val="24"/>
              </w:rPr>
            </w:pPr>
          </w:p>
        </w:tc>
      </w:tr>
    </w:tbl>
    <w:p>
      <w:pPr>
        <w:rPr>
          <w:rFonts w:hint="eastAsia"/>
          <w:snapToGrid w:val="0"/>
          <w:sz w:val="32"/>
          <w:szCs w:val="32"/>
        </w:rPr>
      </w:pPr>
      <w:r>
        <w:rPr>
          <w:rFonts w:hint="eastAsia"/>
          <w:snapToGrid w:val="0"/>
          <w:sz w:val="32"/>
          <w:szCs w:val="32"/>
        </w:rPr>
        <w:t>备注：1.请报价人严格对照最终交货产品填写品牌及规格型号，若最终因交货清单与实际交货品牌及规格型号不符，后果由成交人自行承担。</w:t>
      </w:r>
    </w:p>
    <w:p>
      <w:pPr>
        <w:ind w:firstLine="640" w:firstLineChars="200"/>
        <w:rPr>
          <w:rFonts w:hint="eastAsia"/>
          <w:snapToGrid w:val="0"/>
          <w:sz w:val="32"/>
          <w:szCs w:val="32"/>
        </w:rPr>
      </w:pPr>
      <w:r>
        <w:rPr>
          <w:rFonts w:hint="eastAsia"/>
          <w:snapToGrid w:val="0"/>
          <w:sz w:val="32"/>
          <w:szCs w:val="32"/>
        </w:rPr>
        <w:t>2.如不能完全包含采购需求配置清单，将做无效</w:t>
      </w:r>
      <w:r>
        <w:rPr>
          <w:rFonts w:hint="eastAsia"/>
          <w:snapToGrid w:val="0"/>
          <w:sz w:val="32"/>
          <w:szCs w:val="32"/>
          <w:lang w:eastAsia="zh-CN"/>
        </w:rPr>
        <w:t>报价</w:t>
      </w:r>
      <w:r>
        <w:rPr>
          <w:rFonts w:hint="eastAsia"/>
          <w:snapToGrid w:val="0"/>
          <w:sz w:val="32"/>
          <w:szCs w:val="32"/>
        </w:rPr>
        <w:t>处理。</w:t>
      </w:r>
    </w:p>
    <w:p>
      <w:pPr>
        <w:ind w:firstLine="640" w:firstLineChars="200"/>
        <w:rPr>
          <w:snapToGrid w:val="0"/>
          <w:sz w:val="32"/>
          <w:szCs w:val="32"/>
        </w:rPr>
      </w:pPr>
      <w:r>
        <w:rPr>
          <w:rFonts w:hint="eastAsia"/>
          <w:snapToGrid w:val="0"/>
          <w:sz w:val="32"/>
          <w:szCs w:val="32"/>
        </w:rPr>
        <w:t>3.根据采购需求数量填写交货数量，如技术要求中单台设备配置清单“主机”数量为1台，货物一览表中总“***设备”采购数量为2套，则设备交货清单中“主机”数量应为1*2=2台。</w:t>
      </w:r>
    </w:p>
    <w:p>
      <w:pPr>
        <w:rPr>
          <w:snapToGrid w:val="0"/>
          <w:sz w:val="32"/>
          <w:szCs w:val="32"/>
        </w:rPr>
      </w:pPr>
    </w:p>
    <w:p>
      <w:pPr>
        <w:rPr>
          <w:snapToGrid w:val="0"/>
          <w:sz w:val="32"/>
          <w:szCs w:val="32"/>
        </w:rPr>
      </w:pPr>
    </w:p>
    <w:p>
      <w:pPr>
        <w:autoSpaceDE w:val="0"/>
        <w:autoSpaceDN w:val="0"/>
        <w:adjustRightInd w:val="0"/>
        <w:ind w:firstLine="352" w:firstLineChars="168"/>
        <w:rPr>
          <w:snapToGrid w:val="0"/>
          <w:lang w:val="zh-CN"/>
        </w:rPr>
      </w:pPr>
    </w:p>
    <w:p>
      <w:pPr>
        <w:spacing w:line="360" w:lineRule="auto"/>
        <w:jc w:val="center"/>
        <w:rPr>
          <w:bCs/>
          <w:sz w:val="28"/>
          <w:szCs w:val="28"/>
          <w:lang w:val="zh-CN"/>
        </w:rPr>
      </w:pPr>
      <w:r>
        <w:rPr>
          <w:rFonts w:hint="eastAsia"/>
          <w:snapToGrid w:val="0"/>
          <w:sz w:val="28"/>
          <w:szCs w:val="28"/>
          <w:lang w:val="zh-CN"/>
        </w:rPr>
        <w:t xml:space="preserve">    </w:t>
      </w:r>
      <w:r>
        <w:rPr>
          <w:snapToGrid w:val="0"/>
          <w:sz w:val="28"/>
          <w:szCs w:val="28"/>
          <w:lang w:val="zh-CN"/>
        </w:rPr>
        <w:t xml:space="preserve">                </w:t>
      </w:r>
      <w:r>
        <w:rPr>
          <w:rFonts w:hint="eastAsia"/>
          <w:bCs/>
          <w:sz w:val="28"/>
          <w:szCs w:val="28"/>
          <w:lang w:val="zh-CN"/>
        </w:rPr>
        <w:t>报价供应商全称：（盖章）</w:t>
      </w:r>
    </w:p>
    <w:p>
      <w:pPr>
        <w:spacing w:line="360" w:lineRule="auto"/>
        <w:ind w:firstLine="560" w:firstLineChars="200"/>
        <w:jc w:val="center"/>
        <w:rPr>
          <w:bCs/>
          <w:sz w:val="28"/>
          <w:szCs w:val="28"/>
          <w:lang w:val="zh-CN"/>
        </w:rPr>
      </w:pPr>
      <w:r>
        <w:rPr>
          <w:rFonts w:hint="eastAsia"/>
          <w:bCs/>
          <w:sz w:val="28"/>
          <w:szCs w:val="28"/>
          <w:lang w:val="zh-CN"/>
        </w:rPr>
        <w:t xml:space="preserve">              </w:t>
      </w:r>
      <w:r>
        <w:rPr>
          <w:bCs/>
          <w:sz w:val="28"/>
          <w:szCs w:val="28"/>
          <w:lang w:val="zh-CN"/>
        </w:rPr>
        <w:t xml:space="preserve">            </w:t>
      </w:r>
      <w:r>
        <w:rPr>
          <w:rFonts w:hint="eastAsia"/>
          <w:bCs/>
          <w:sz w:val="28"/>
          <w:szCs w:val="28"/>
          <w:lang w:val="zh-CN"/>
        </w:rPr>
        <w:t>法定代表人（或授权代表）：（签字）</w:t>
      </w:r>
    </w:p>
    <w:p>
      <w:pPr>
        <w:spacing w:line="360" w:lineRule="auto"/>
        <w:ind w:firstLine="560" w:firstLineChars="200"/>
        <w:jc w:val="center"/>
        <w:rPr>
          <w:bCs/>
          <w:sz w:val="28"/>
          <w:szCs w:val="28"/>
          <w:lang w:val="zh-CN"/>
        </w:rPr>
      </w:pPr>
      <w:r>
        <w:rPr>
          <w:bCs/>
          <w:sz w:val="28"/>
          <w:szCs w:val="28"/>
          <w:lang w:val="zh-CN"/>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jc w:val="center"/>
      </w:pPr>
    </w:p>
    <w:p/>
    <w:p>
      <w:pPr>
        <w:widowControl/>
        <w:jc w:val="left"/>
      </w:pPr>
      <w:r>
        <w:br w:type="page"/>
      </w:r>
    </w:p>
    <w:p>
      <w:pPr>
        <w:pStyle w:val="6"/>
        <w:spacing w:before="120" w:beforeLines="50" w:after="120" w:afterLines="50" w:line="560" w:lineRule="exact"/>
        <w:rPr>
          <w:b w:val="0"/>
        </w:rPr>
      </w:pPr>
      <w:r>
        <w:rPr>
          <w:rFonts w:hint="eastAsia"/>
          <w:b w:val="0"/>
        </w:rPr>
        <w:t>附件</w:t>
      </w:r>
      <w:r>
        <w:rPr>
          <w:b w:val="0"/>
        </w:rPr>
        <w:t>2-8</w:t>
      </w:r>
      <w:r>
        <w:rPr>
          <w:rFonts w:hint="eastAsia"/>
          <w:b w:val="0"/>
        </w:rPr>
        <w:t xml:space="preserve"> </w:t>
      </w:r>
      <w:bookmarkEnd w:id="497"/>
      <w:bookmarkEnd w:id="498"/>
      <w:bookmarkEnd w:id="499"/>
      <w:bookmarkEnd w:id="500"/>
      <w:bookmarkEnd w:id="501"/>
      <w:bookmarkEnd w:id="502"/>
      <w:r>
        <w:rPr>
          <w:rFonts w:hint="eastAsia"/>
          <w:b w:val="0"/>
        </w:rPr>
        <w:t>易损易耗件清单</w:t>
      </w:r>
    </w:p>
    <w:p>
      <w:pPr>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易损易耗件清单</w:t>
      </w:r>
    </w:p>
    <w:p>
      <w:pPr>
        <w:rPr>
          <w:bCs/>
          <w:sz w:val="28"/>
          <w:szCs w:val="28"/>
        </w:rPr>
      </w:pPr>
    </w:p>
    <w:p>
      <w:pPr>
        <w:rPr>
          <w:bCs/>
          <w:sz w:val="28"/>
          <w:szCs w:val="28"/>
        </w:rPr>
      </w:pPr>
      <w:r>
        <w:rPr>
          <w:rFonts w:hint="eastAsia"/>
          <w:bCs/>
          <w:sz w:val="28"/>
          <w:szCs w:val="28"/>
        </w:rPr>
        <w:t>项目名称：</w:t>
      </w:r>
      <w:r>
        <w:rPr>
          <w:bCs/>
          <w:sz w:val="28"/>
          <w:szCs w:val="28"/>
          <w:u w:val="single"/>
        </w:rPr>
        <w:t xml:space="preserve">          </w:t>
      </w:r>
      <w:r>
        <w:rPr>
          <w:bCs/>
          <w:sz w:val="28"/>
          <w:szCs w:val="28"/>
        </w:rPr>
        <w:t xml:space="preserve">  </w:t>
      </w:r>
      <w:r>
        <w:rPr>
          <w:rFonts w:hint="eastAsia"/>
          <w:bCs/>
          <w:sz w:val="28"/>
          <w:szCs w:val="28"/>
        </w:rPr>
        <w:t>项目编号：</w:t>
      </w:r>
      <w:r>
        <w:rPr>
          <w:bCs/>
          <w:sz w:val="28"/>
          <w:szCs w:val="28"/>
          <w:u w:val="single"/>
        </w:rPr>
        <w:t xml:space="preserve">        </w:t>
      </w:r>
      <w:r>
        <w:rPr>
          <w:bCs/>
          <w:sz w:val="28"/>
          <w:szCs w:val="28"/>
        </w:rPr>
        <w:t xml:space="preserve"> </w:t>
      </w:r>
      <w:r>
        <w:rPr>
          <w:rFonts w:hint="eastAsia"/>
          <w:bCs/>
          <w:sz w:val="28"/>
          <w:szCs w:val="28"/>
        </w:rPr>
        <w:t>包号：</w:t>
      </w:r>
      <w:r>
        <w:rPr>
          <w:bCs/>
          <w:sz w:val="28"/>
          <w:szCs w:val="28"/>
          <w:u w:val="single"/>
        </w:rPr>
        <w:t xml:space="preserve">    </w:t>
      </w:r>
      <w:r>
        <w:rPr>
          <w:bCs/>
          <w:sz w:val="28"/>
          <w:szCs w:val="28"/>
        </w:rPr>
        <w:t xml:space="preserve">  </w:t>
      </w:r>
      <w:r>
        <w:rPr>
          <w:rFonts w:hint="eastAsia"/>
          <w:bCs/>
          <w:sz w:val="28"/>
          <w:szCs w:val="28"/>
        </w:rPr>
        <w:t>金额：元</w:t>
      </w:r>
    </w:p>
    <w:tbl>
      <w:tblPr>
        <w:tblStyle w:val="44"/>
        <w:tblW w:w="92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946"/>
        <w:gridCol w:w="1417"/>
        <w:gridCol w:w="851"/>
        <w:gridCol w:w="992"/>
        <w:gridCol w:w="1134"/>
        <w:gridCol w:w="1134"/>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exact"/>
        </w:trPr>
        <w:tc>
          <w:tcPr>
            <w:tcW w:w="748"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序号</w:t>
            </w:r>
          </w:p>
        </w:tc>
        <w:tc>
          <w:tcPr>
            <w:tcW w:w="1946"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易损易耗件名称</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规格型号</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品牌</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单位</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单价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原产地</w:t>
            </w: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851" w:type="dxa"/>
            <w:tcBorders>
              <w:top w:val="single" w:color="auto" w:sz="4" w:space="0"/>
              <w:left w:val="single" w:color="auto" w:sz="4" w:space="0"/>
              <w:bottom w:val="single" w:color="auto" w:sz="4" w:space="0"/>
              <w:right w:val="single" w:color="auto" w:sz="4" w:space="0"/>
            </w:tcBorders>
          </w:tcPr>
          <w:p>
            <w:pPr>
              <w:rPr>
                <w:bCs/>
                <w:sz w:val="24"/>
              </w:rPr>
            </w:pPr>
          </w:p>
        </w:tc>
        <w:tc>
          <w:tcPr>
            <w:tcW w:w="992"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851" w:type="dxa"/>
            <w:tcBorders>
              <w:top w:val="single" w:color="auto" w:sz="4" w:space="0"/>
              <w:left w:val="single" w:color="auto" w:sz="4" w:space="0"/>
              <w:bottom w:val="single" w:color="auto" w:sz="4" w:space="0"/>
              <w:right w:val="single" w:color="auto" w:sz="4" w:space="0"/>
            </w:tcBorders>
          </w:tcPr>
          <w:p>
            <w:pPr>
              <w:rPr>
                <w:bCs/>
                <w:sz w:val="24"/>
              </w:rPr>
            </w:pPr>
          </w:p>
        </w:tc>
        <w:tc>
          <w:tcPr>
            <w:tcW w:w="992"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851" w:type="dxa"/>
            <w:tcBorders>
              <w:top w:val="single" w:color="auto" w:sz="4" w:space="0"/>
              <w:left w:val="single" w:color="auto" w:sz="4" w:space="0"/>
              <w:bottom w:val="single" w:color="auto" w:sz="4" w:space="0"/>
              <w:right w:val="single" w:color="auto" w:sz="4" w:space="0"/>
            </w:tcBorders>
          </w:tcPr>
          <w:p>
            <w:pPr>
              <w:rPr>
                <w:bCs/>
                <w:sz w:val="24"/>
              </w:rPr>
            </w:pPr>
          </w:p>
        </w:tc>
        <w:tc>
          <w:tcPr>
            <w:tcW w:w="992"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851" w:type="dxa"/>
            <w:tcBorders>
              <w:top w:val="single" w:color="auto" w:sz="4" w:space="0"/>
              <w:left w:val="single" w:color="auto" w:sz="4" w:space="0"/>
              <w:bottom w:val="single" w:color="auto" w:sz="4" w:space="0"/>
              <w:right w:val="single" w:color="auto" w:sz="4" w:space="0"/>
            </w:tcBorders>
          </w:tcPr>
          <w:p>
            <w:pPr>
              <w:rPr>
                <w:bCs/>
                <w:sz w:val="24"/>
              </w:rPr>
            </w:pPr>
          </w:p>
        </w:tc>
        <w:tc>
          <w:tcPr>
            <w:tcW w:w="992"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851" w:type="dxa"/>
            <w:tcBorders>
              <w:top w:val="single" w:color="auto" w:sz="4" w:space="0"/>
              <w:left w:val="single" w:color="auto" w:sz="4" w:space="0"/>
              <w:bottom w:val="single" w:color="auto" w:sz="4" w:space="0"/>
              <w:right w:val="single" w:color="auto" w:sz="4" w:space="0"/>
            </w:tcBorders>
          </w:tcPr>
          <w:p>
            <w:pPr>
              <w:rPr>
                <w:bCs/>
                <w:sz w:val="24"/>
              </w:rPr>
            </w:pPr>
          </w:p>
        </w:tc>
        <w:tc>
          <w:tcPr>
            <w:tcW w:w="992"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851" w:type="dxa"/>
            <w:tcBorders>
              <w:top w:val="single" w:color="auto" w:sz="4" w:space="0"/>
              <w:left w:val="single" w:color="auto" w:sz="4" w:space="0"/>
              <w:bottom w:val="single" w:color="auto" w:sz="4" w:space="0"/>
              <w:right w:val="single" w:color="auto" w:sz="4" w:space="0"/>
            </w:tcBorders>
          </w:tcPr>
          <w:p>
            <w:pPr>
              <w:rPr>
                <w:bCs/>
                <w:sz w:val="24"/>
              </w:rPr>
            </w:pPr>
          </w:p>
        </w:tc>
        <w:tc>
          <w:tcPr>
            <w:tcW w:w="992"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851" w:type="dxa"/>
            <w:tcBorders>
              <w:top w:val="single" w:color="auto" w:sz="4" w:space="0"/>
              <w:left w:val="single" w:color="auto" w:sz="4" w:space="0"/>
              <w:bottom w:val="single" w:color="auto" w:sz="4" w:space="0"/>
              <w:right w:val="single" w:color="auto" w:sz="4" w:space="0"/>
            </w:tcBorders>
          </w:tcPr>
          <w:p>
            <w:pPr>
              <w:rPr>
                <w:bCs/>
                <w:sz w:val="24"/>
              </w:rPr>
            </w:pPr>
          </w:p>
        </w:tc>
        <w:tc>
          <w:tcPr>
            <w:tcW w:w="992"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851" w:type="dxa"/>
            <w:tcBorders>
              <w:top w:val="single" w:color="auto" w:sz="4" w:space="0"/>
              <w:left w:val="single" w:color="auto" w:sz="4" w:space="0"/>
              <w:bottom w:val="single" w:color="auto" w:sz="4" w:space="0"/>
              <w:right w:val="single" w:color="auto" w:sz="4" w:space="0"/>
            </w:tcBorders>
          </w:tcPr>
          <w:p>
            <w:pPr>
              <w:rPr>
                <w:bCs/>
                <w:sz w:val="24"/>
              </w:rPr>
            </w:pPr>
          </w:p>
        </w:tc>
        <w:tc>
          <w:tcPr>
            <w:tcW w:w="992"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bl>
    <w:p>
      <w:pPr>
        <w:ind w:firstLine="560" w:firstLineChars="200"/>
        <w:rPr>
          <w:bCs/>
          <w:sz w:val="28"/>
          <w:szCs w:val="28"/>
        </w:rPr>
      </w:pPr>
    </w:p>
    <w:p>
      <w:pPr>
        <w:spacing w:line="560" w:lineRule="exact"/>
        <w:rPr>
          <w:bCs/>
          <w:sz w:val="28"/>
          <w:szCs w:val="28"/>
        </w:rPr>
      </w:pPr>
    </w:p>
    <w:p>
      <w:pPr>
        <w:spacing w:line="560" w:lineRule="exact"/>
        <w:ind w:firstLine="560" w:firstLineChars="200"/>
        <w:jc w:val="center"/>
        <w:rPr>
          <w:bCs/>
          <w:sz w:val="28"/>
          <w:szCs w:val="28"/>
          <w:lang w:val="zh-CN"/>
        </w:rPr>
      </w:pPr>
      <w:r>
        <w:rPr>
          <w:bCs/>
          <w:sz w:val="28"/>
          <w:szCs w:val="28"/>
          <w:lang w:val="zh-CN"/>
        </w:rPr>
        <w:t xml:space="preserve">               </w:t>
      </w:r>
      <w:r>
        <w:rPr>
          <w:rFonts w:hint="eastAsia"/>
          <w:bCs/>
          <w:sz w:val="28"/>
          <w:szCs w:val="28"/>
          <w:lang w:val="zh-CN"/>
        </w:rPr>
        <w:t>报价供应商全称：（盖章）</w:t>
      </w:r>
    </w:p>
    <w:p>
      <w:pPr>
        <w:spacing w:line="560" w:lineRule="exact"/>
        <w:ind w:firstLine="560" w:firstLineChars="200"/>
        <w:jc w:val="center"/>
        <w:rPr>
          <w:bCs/>
          <w:sz w:val="28"/>
          <w:szCs w:val="28"/>
          <w:lang w:val="zh-CN"/>
        </w:rPr>
      </w:pPr>
      <w:r>
        <w:rPr>
          <w:rFonts w:hint="eastAsia"/>
          <w:bCs/>
          <w:sz w:val="28"/>
          <w:szCs w:val="28"/>
          <w:lang w:val="zh-CN"/>
        </w:rPr>
        <w:t xml:space="preserve">              </w:t>
      </w:r>
      <w:r>
        <w:rPr>
          <w:bCs/>
          <w:sz w:val="28"/>
          <w:szCs w:val="28"/>
          <w:lang w:val="zh-CN"/>
        </w:rPr>
        <w:t xml:space="preserve">          </w:t>
      </w:r>
      <w:r>
        <w:rPr>
          <w:rFonts w:hint="eastAsia"/>
          <w:bCs/>
          <w:sz w:val="28"/>
          <w:szCs w:val="28"/>
          <w:lang w:val="zh-CN"/>
        </w:rPr>
        <w:t>法定代表人（或授权代表）：（签字）</w:t>
      </w:r>
    </w:p>
    <w:p>
      <w:pPr>
        <w:spacing w:line="560" w:lineRule="exact"/>
        <w:ind w:firstLine="560" w:firstLineChars="200"/>
        <w:jc w:val="center"/>
        <w:rPr>
          <w:bCs/>
          <w:sz w:val="28"/>
          <w:szCs w:val="28"/>
        </w:rPr>
      </w:pPr>
      <w:r>
        <w:rPr>
          <w:bCs/>
          <w:sz w:val="28"/>
          <w:szCs w:val="28"/>
          <w:lang w:val="zh-CN"/>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rPr>
          <w:bCs/>
        </w:rPr>
      </w:pPr>
    </w:p>
    <w:p>
      <w:pPr>
        <w:rPr>
          <w:bCs/>
        </w:rPr>
      </w:pPr>
    </w:p>
    <w:p>
      <w:pPr>
        <w:rPr>
          <w:bCs/>
        </w:rPr>
      </w:pPr>
    </w:p>
    <w:p>
      <w:pPr>
        <w:pStyle w:val="6"/>
        <w:rPr>
          <w:rFonts w:hint="eastAsia" w:cs="Times New Roman"/>
          <w:b w:val="0"/>
        </w:rPr>
      </w:pPr>
      <w:bookmarkStart w:id="509" w:name="_Toc16278"/>
      <w:bookmarkStart w:id="510" w:name="_Toc29285"/>
      <w:bookmarkStart w:id="511" w:name="_Toc25755"/>
      <w:bookmarkStart w:id="512" w:name="_Toc13729"/>
      <w:bookmarkStart w:id="513" w:name="_Toc112768469"/>
      <w:bookmarkStart w:id="514" w:name="_Toc3267"/>
      <w:r>
        <w:rPr>
          <w:b/>
        </w:rPr>
        <w:br w:type="page"/>
      </w:r>
      <w:r>
        <w:rPr>
          <w:rFonts w:hint="eastAsia"/>
          <w:b w:val="0"/>
        </w:rPr>
        <w:t>附件</w:t>
      </w:r>
      <w:r>
        <w:rPr>
          <w:b w:val="0"/>
        </w:rPr>
        <w:t>2-</w:t>
      </w:r>
      <w:r>
        <w:rPr>
          <w:rFonts w:hint="eastAsia"/>
          <w:b w:val="0"/>
          <w:lang w:val="en-US" w:eastAsia="zh-CN"/>
        </w:rPr>
        <w:t xml:space="preserve">9 </w:t>
      </w:r>
      <w:r>
        <w:rPr>
          <w:rFonts w:hint="eastAsia" w:cs="Times New Roman"/>
          <w:b w:val="0"/>
        </w:rPr>
        <w:t>零配件全国统一报价表（如有）</w:t>
      </w:r>
    </w:p>
    <w:p>
      <w:pPr>
        <w:spacing w:before="120" w:beforeLines="50" w:after="120" w:afterLines="50" w:line="560" w:lineRule="exact"/>
        <w:jc w:val="center"/>
        <w:rPr>
          <w:rFonts w:hint="eastAsia" w:ascii="黑体" w:hAnsi="黑体" w:eastAsia="黑体" w:cs="黑体"/>
          <w:bCs/>
          <w:sz w:val="36"/>
          <w:szCs w:val="36"/>
          <w:lang w:val="zh-CN"/>
        </w:rPr>
      </w:pPr>
      <w:r>
        <w:rPr>
          <w:rFonts w:hint="eastAsia" w:ascii="黑体" w:hAnsi="黑体" w:eastAsia="黑体" w:cs="黑体"/>
          <w:bCs/>
          <w:sz w:val="36"/>
          <w:szCs w:val="36"/>
          <w:lang w:val="zh-CN"/>
        </w:rPr>
        <w:t>零配件全国统一报价表</w:t>
      </w:r>
    </w:p>
    <w:p>
      <w:pPr>
        <w:rPr>
          <w:rFonts w:hint="eastAsia" w:ascii="Times New Roman" w:hAnsi="Times New Roman" w:eastAsia="宋体" w:cs="Times New Roman"/>
          <w:bCs/>
          <w:sz w:val="28"/>
          <w:szCs w:val="28"/>
        </w:rPr>
      </w:pPr>
      <w:r>
        <w:rPr>
          <w:rFonts w:hint="eastAsia" w:ascii="Times New Roman" w:hAnsi="Times New Roman" w:eastAsia="宋体" w:cs="Times New Roman"/>
          <w:bCs/>
          <w:sz w:val="28"/>
          <w:szCs w:val="28"/>
        </w:rPr>
        <w:t xml:space="preserve">项目名称：                  项目编号：                包号：         </w:t>
      </w:r>
    </w:p>
    <w:tbl>
      <w:tblPr>
        <w:tblStyle w:val="44"/>
        <w:tblW w:w="96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545"/>
        <w:gridCol w:w="1721"/>
        <w:gridCol w:w="1010"/>
        <w:gridCol w:w="832"/>
        <w:gridCol w:w="919"/>
        <w:gridCol w:w="1288"/>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r>
              <w:rPr>
                <w:rFonts w:hint="eastAsia" w:ascii="Times New Roman" w:hAnsi="Times New Roman" w:eastAsia="宋体" w:cs="Times New Roman"/>
                <w:bCs/>
                <w:sz w:val="24"/>
              </w:rPr>
              <w:t>序号</w:t>
            </w: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r>
              <w:rPr>
                <w:rFonts w:hint="eastAsia" w:ascii="Times New Roman" w:hAnsi="Times New Roman" w:eastAsia="宋体" w:cs="Times New Roman"/>
                <w:bCs/>
                <w:sz w:val="24"/>
              </w:rPr>
              <w:t>零配件名称</w:t>
            </w: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r>
              <w:rPr>
                <w:rFonts w:hint="eastAsia" w:ascii="Times New Roman" w:hAnsi="Times New Roman" w:eastAsia="宋体" w:cs="Times New Roman"/>
                <w:bCs/>
                <w:sz w:val="24"/>
              </w:rPr>
              <w:t>规格型号</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r>
              <w:rPr>
                <w:rFonts w:hint="eastAsia" w:ascii="Times New Roman" w:hAnsi="Times New Roman" w:eastAsia="宋体" w:cs="Times New Roman"/>
                <w:bCs/>
                <w:sz w:val="24"/>
              </w:rPr>
              <w:t>国别及品牌</w:t>
            </w: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r>
              <w:rPr>
                <w:rFonts w:hint="eastAsia" w:ascii="Times New Roman" w:hAnsi="Times New Roman" w:eastAsia="宋体" w:cs="Times New Roman"/>
                <w:bCs/>
                <w:sz w:val="24"/>
              </w:rPr>
              <w:t>数量</w:t>
            </w: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r>
              <w:rPr>
                <w:rFonts w:hint="eastAsia" w:ascii="Times New Roman" w:hAnsi="Times New Roman" w:eastAsia="宋体" w:cs="Times New Roman"/>
                <w:bCs/>
                <w:sz w:val="24"/>
              </w:rPr>
              <w:t>单价</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r>
              <w:rPr>
                <w:rFonts w:hint="eastAsia" w:ascii="Times New Roman" w:hAnsi="Times New Roman" w:eastAsia="宋体" w:cs="Times New Roman"/>
                <w:bCs/>
                <w:sz w:val="24"/>
              </w:rPr>
              <w:t>原产地</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r>
              <w:rPr>
                <w:rFonts w:hint="eastAsia" w:ascii="Times New Roman" w:hAnsi="Times New Roman" w:eastAsia="宋体" w:cs="Times New Roman"/>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r>
    </w:tbl>
    <w:p>
      <w:pPr>
        <w:ind w:firstLine="420"/>
      </w:pPr>
      <w:r>
        <w:rPr>
          <w:rFonts w:hint="eastAsia" w:ascii="宋体" w:hAnsi="宋体" w:eastAsia="宋体" w:cs="宋体"/>
          <w:sz w:val="28"/>
          <w:szCs w:val="36"/>
        </w:rPr>
        <w:t>我方承诺：</w:t>
      </w:r>
      <w:r>
        <w:rPr>
          <w:rFonts w:hint="eastAsia" w:ascii="宋体" w:hAnsi="宋体" w:eastAsia="宋体" w:cs="宋体"/>
          <w:color w:val="FF0000"/>
          <w:sz w:val="28"/>
          <w:szCs w:val="36"/>
          <w:u w:val="single"/>
        </w:rPr>
        <w:t>采购人更换配件价格不超过统一报价的70%（即采购人更换配件价格不超过上表价格的70%）</w:t>
      </w:r>
      <w:r>
        <w:rPr>
          <w:rFonts w:hint="eastAsia" w:ascii="宋体" w:hAnsi="宋体" w:eastAsia="宋体" w:cs="宋体"/>
          <w:sz w:val="28"/>
          <w:szCs w:val="36"/>
        </w:rPr>
        <w:t>。</w:t>
      </w:r>
    </w:p>
    <w:p>
      <w:pPr>
        <w:ind w:firstLine="420"/>
      </w:pPr>
    </w:p>
    <w:p>
      <w:pPr>
        <w:spacing w:line="560" w:lineRule="exact"/>
        <w:ind w:firstLine="560" w:firstLineChars="200"/>
        <w:jc w:val="center"/>
        <w:rPr>
          <w:rFonts w:hint="eastAsia" w:ascii="Times New Roman" w:hAnsi="Times New Roman" w:eastAsia="宋体" w:cs="Times New Roman"/>
          <w:bCs/>
          <w:sz w:val="28"/>
          <w:szCs w:val="28"/>
          <w:lang w:val="zh-CN"/>
        </w:rPr>
      </w:pPr>
    </w:p>
    <w:p>
      <w:pPr>
        <w:spacing w:line="560" w:lineRule="exact"/>
        <w:ind w:firstLine="560" w:firstLineChars="200"/>
        <w:jc w:val="right"/>
        <w:rPr>
          <w:rFonts w:hint="eastAsia" w:ascii="Times New Roman" w:hAnsi="Times New Roman" w:eastAsia="宋体" w:cs="Times New Roman"/>
          <w:bCs/>
          <w:sz w:val="28"/>
          <w:szCs w:val="28"/>
          <w:lang w:val="zh-CN"/>
        </w:rPr>
      </w:pPr>
      <w:r>
        <w:rPr>
          <w:rFonts w:hint="eastAsia" w:ascii="Times New Roman" w:hAnsi="Times New Roman" w:eastAsia="宋体" w:cs="Times New Roman"/>
          <w:bCs/>
          <w:sz w:val="28"/>
          <w:szCs w:val="28"/>
          <w:lang w:val="zh-CN"/>
        </w:rPr>
        <w:t>报价方全称：           （盖章）</w:t>
      </w:r>
    </w:p>
    <w:p>
      <w:pPr>
        <w:spacing w:line="560" w:lineRule="exact"/>
        <w:ind w:firstLine="560" w:firstLineChars="200"/>
        <w:jc w:val="right"/>
        <w:rPr>
          <w:rFonts w:hint="eastAsia" w:ascii="Times New Roman" w:hAnsi="Times New Roman" w:eastAsia="宋体" w:cs="Times New Roman"/>
          <w:bCs/>
          <w:sz w:val="28"/>
          <w:szCs w:val="28"/>
          <w:lang w:val="zh-CN"/>
        </w:rPr>
      </w:pPr>
      <w:r>
        <w:rPr>
          <w:rFonts w:hint="eastAsia" w:ascii="Times New Roman" w:hAnsi="Times New Roman" w:eastAsia="宋体" w:cs="Times New Roman"/>
          <w:bCs/>
          <w:sz w:val="28"/>
          <w:szCs w:val="28"/>
          <w:lang w:val="zh-CN"/>
        </w:rPr>
        <w:t>法定代表人（或授权代表）：      （签字）</w:t>
      </w:r>
    </w:p>
    <w:p>
      <w:pPr>
        <w:spacing w:line="560" w:lineRule="exact"/>
        <w:ind w:firstLine="560" w:firstLineChars="200"/>
        <w:jc w:val="right"/>
        <w:rPr>
          <w:rFonts w:hint="eastAsia" w:ascii="Times New Roman" w:hAnsi="Times New Roman" w:eastAsia="宋体" w:cs="Times New Roman"/>
          <w:bCs/>
          <w:sz w:val="28"/>
          <w:szCs w:val="28"/>
          <w:lang w:val="zh-CN"/>
        </w:rPr>
      </w:pPr>
      <w:r>
        <w:rPr>
          <w:rFonts w:hint="eastAsia" w:ascii="Times New Roman" w:hAnsi="Times New Roman" w:eastAsia="宋体" w:cs="Times New Roman"/>
          <w:bCs/>
          <w:sz w:val="28"/>
          <w:szCs w:val="28"/>
          <w:lang w:val="zh-CN"/>
        </w:rPr>
        <w:t>日期：      年   月   日</w:t>
      </w:r>
    </w:p>
    <w:p>
      <w:pPr>
        <w:spacing w:line="560" w:lineRule="exact"/>
        <w:ind w:firstLine="560" w:firstLineChars="200"/>
        <w:jc w:val="center"/>
        <w:rPr>
          <w:rFonts w:hint="eastAsia" w:ascii="Times New Roman" w:hAnsi="Times New Roman" w:eastAsia="宋体" w:cs="Times New Roman"/>
          <w:bCs/>
          <w:sz w:val="28"/>
          <w:szCs w:val="28"/>
          <w:lang w:val="zh-CN"/>
        </w:rPr>
      </w:pPr>
      <w:r>
        <w:rPr>
          <w:rFonts w:hint="eastAsia" w:ascii="Times New Roman" w:hAnsi="Times New Roman" w:eastAsia="宋体" w:cs="Times New Roman"/>
          <w:bCs/>
          <w:sz w:val="28"/>
          <w:szCs w:val="28"/>
          <w:lang w:val="zh-CN"/>
        </w:rPr>
        <w:br w:type="page"/>
      </w:r>
    </w:p>
    <w:p>
      <w:pPr>
        <w:pStyle w:val="6"/>
        <w:spacing w:before="120" w:beforeLines="50" w:after="120" w:afterLines="50" w:line="560" w:lineRule="exact"/>
        <w:rPr>
          <w:rFonts w:ascii="宋体" w:hAnsi="宋体"/>
          <w:b w:val="0"/>
        </w:rPr>
      </w:pPr>
      <w:r>
        <w:rPr>
          <w:rFonts w:hint="eastAsia"/>
          <w:b w:val="0"/>
        </w:rPr>
        <w:t>附件</w:t>
      </w:r>
      <w:r>
        <w:rPr>
          <w:b w:val="0"/>
        </w:rPr>
        <w:t>2-</w:t>
      </w:r>
      <w:r>
        <w:rPr>
          <w:rFonts w:hint="eastAsia"/>
          <w:b w:val="0"/>
          <w:lang w:val="en-US" w:eastAsia="zh-CN"/>
        </w:rPr>
        <w:t>10</w:t>
      </w:r>
      <w:r>
        <w:rPr>
          <w:rFonts w:hint="eastAsia"/>
          <w:b w:val="0"/>
        </w:rPr>
        <w:t xml:space="preserve"> 售后服务方案</w:t>
      </w:r>
      <w:bookmarkEnd w:id="509"/>
      <w:bookmarkEnd w:id="510"/>
      <w:bookmarkEnd w:id="511"/>
      <w:bookmarkEnd w:id="512"/>
      <w:bookmarkEnd w:id="513"/>
      <w:bookmarkEnd w:id="514"/>
    </w:p>
    <w:p>
      <w:pPr>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售后服务方案</w:t>
      </w:r>
    </w:p>
    <w:p>
      <w:pPr>
        <w:spacing w:line="360" w:lineRule="auto"/>
        <w:ind w:firstLine="560" w:firstLineChars="200"/>
        <w:jc w:val="left"/>
        <w:rPr>
          <w:bCs w:val="0"/>
        </w:rPr>
      </w:pPr>
      <w:r>
        <w:rPr>
          <w:rFonts w:hint="eastAsia"/>
          <w:bCs/>
          <w:sz w:val="28"/>
          <w:szCs w:val="28"/>
          <w:lang w:val="zh-CN"/>
        </w:rPr>
        <w:t>（由报价供应商根据项目需求及技术评审表中“售后服务”评审细则自行拟定）</w:t>
      </w:r>
    </w:p>
    <w:p>
      <w:pPr>
        <w:rPr>
          <w:rFonts w:hint="eastAsia"/>
          <w:b w:val="0"/>
        </w:rPr>
      </w:pPr>
      <w:bookmarkStart w:id="515" w:name="_Toc30559"/>
      <w:bookmarkStart w:id="516" w:name="_Toc8732"/>
      <w:bookmarkStart w:id="517" w:name="_Toc17638"/>
      <w:bookmarkStart w:id="518" w:name="_Toc112768471"/>
      <w:bookmarkStart w:id="519" w:name="_Toc30639"/>
      <w:bookmarkStart w:id="520" w:name="_Toc4760"/>
      <w:r>
        <w:rPr>
          <w:rFonts w:hint="eastAsia"/>
          <w:b w:val="0"/>
        </w:rPr>
        <w:br w:type="page"/>
      </w:r>
    </w:p>
    <w:p>
      <w:pPr>
        <w:pStyle w:val="6"/>
        <w:spacing w:before="120" w:beforeLines="50" w:after="120" w:afterLines="50" w:line="560" w:lineRule="exact"/>
        <w:rPr>
          <w:rFonts w:hint="eastAsia" w:eastAsia="黑体"/>
          <w:b w:val="0"/>
          <w:lang w:eastAsia="zh-CN"/>
        </w:rPr>
      </w:pPr>
      <w:r>
        <w:rPr>
          <w:rFonts w:hint="eastAsia"/>
          <w:b w:val="0"/>
        </w:rPr>
        <w:t>附件</w:t>
      </w:r>
      <w:r>
        <w:rPr>
          <w:b w:val="0"/>
        </w:rPr>
        <w:t>2-1</w:t>
      </w:r>
      <w:r>
        <w:rPr>
          <w:rFonts w:hint="eastAsia"/>
          <w:b w:val="0"/>
          <w:lang w:val="en-US" w:eastAsia="zh-CN"/>
        </w:rPr>
        <w:t>1</w:t>
      </w:r>
      <w:r>
        <w:rPr>
          <w:rFonts w:hint="eastAsia"/>
          <w:b w:val="0"/>
        </w:rPr>
        <w:t xml:space="preserve"> 技术方案和所谈判产品技术支持</w:t>
      </w:r>
      <w:bookmarkEnd w:id="515"/>
      <w:bookmarkEnd w:id="516"/>
      <w:bookmarkEnd w:id="517"/>
      <w:bookmarkEnd w:id="518"/>
      <w:bookmarkEnd w:id="519"/>
      <w:r>
        <w:rPr>
          <w:rFonts w:hint="eastAsia"/>
          <w:b w:val="0"/>
        </w:rPr>
        <w:t>材料</w:t>
      </w:r>
      <w:bookmarkEnd w:id="520"/>
      <w:r>
        <w:rPr>
          <w:rFonts w:hint="eastAsia"/>
          <w:b w:val="0"/>
          <w:lang w:eastAsia="zh-CN"/>
        </w:rPr>
        <w:t>（如有）</w:t>
      </w:r>
    </w:p>
    <w:p>
      <w:pPr>
        <w:spacing w:before="120" w:beforeLines="50" w:after="120" w:afterLines="50" w:line="560" w:lineRule="exact"/>
        <w:jc w:val="center"/>
        <w:rPr>
          <w:rFonts w:ascii="黑体" w:hAnsi="黑体" w:eastAsia="黑体" w:cs="黑体"/>
          <w:bCs/>
          <w:sz w:val="36"/>
          <w:szCs w:val="36"/>
          <w:lang w:val="zh-CN"/>
        </w:rPr>
      </w:pPr>
      <w:bookmarkStart w:id="521" w:name="_Toc285612608"/>
      <w:r>
        <w:rPr>
          <w:rFonts w:hint="eastAsia" w:ascii="黑体" w:hAnsi="黑体" w:eastAsia="黑体" w:cs="黑体"/>
          <w:bCs/>
          <w:sz w:val="36"/>
          <w:szCs w:val="36"/>
          <w:lang w:val="zh-CN"/>
        </w:rPr>
        <w:t>技术方案</w:t>
      </w:r>
      <w:bookmarkEnd w:id="521"/>
      <w:r>
        <w:rPr>
          <w:rFonts w:hint="eastAsia" w:ascii="黑体" w:hAnsi="黑体" w:eastAsia="黑体" w:cs="黑体"/>
          <w:bCs/>
          <w:sz w:val="36"/>
          <w:szCs w:val="36"/>
          <w:lang w:val="zh-CN"/>
        </w:rPr>
        <w:t>和所谈判产品技术支持材料</w:t>
      </w:r>
    </w:p>
    <w:p>
      <w:pPr>
        <w:spacing w:line="560" w:lineRule="exact"/>
        <w:ind w:firstLine="560" w:firstLineChars="200"/>
        <w:rPr>
          <w:bCs/>
          <w:sz w:val="28"/>
          <w:szCs w:val="28"/>
          <w:lang w:val="zh-CN"/>
        </w:rPr>
      </w:pPr>
      <w:r>
        <w:rPr>
          <w:rFonts w:hint="eastAsia"/>
          <w:bCs/>
          <w:sz w:val="28"/>
          <w:szCs w:val="28"/>
          <w:lang w:val="zh-CN"/>
        </w:rPr>
        <w:t>（由报价供应商自行拟制技术方案，并按技术评审标准附相关证明材料，例如：生产、加工、制造、工艺控制及质量控制等。）</w:t>
      </w: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pStyle w:val="6"/>
        <w:spacing w:after="280" w:line="560" w:lineRule="exact"/>
        <w:rPr>
          <w:b w:val="0"/>
          <w:lang w:val="zh-CN"/>
        </w:rPr>
      </w:pPr>
      <w:r>
        <w:rPr>
          <w:b w:val="0"/>
          <w:lang w:val="zh-CN"/>
        </w:rPr>
        <w:br w:type="page"/>
      </w:r>
      <w:bookmarkStart w:id="522" w:name="_Toc112768472"/>
      <w:bookmarkStart w:id="523" w:name="_Toc24962"/>
      <w:bookmarkStart w:id="524" w:name="_Toc1944"/>
      <w:bookmarkStart w:id="525" w:name="_Toc15668"/>
      <w:bookmarkStart w:id="526" w:name="_Toc31317"/>
      <w:bookmarkStart w:id="527" w:name="_Toc24270"/>
      <w:r>
        <w:rPr>
          <w:rFonts w:hint="eastAsia"/>
          <w:b w:val="0"/>
        </w:rPr>
        <w:t>附件2-1</w:t>
      </w:r>
      <w:r>
        <w:rPr>
          <w:rFonts w:hint="eastAsia"/>
          <w:b w:val="0"/>
          <w:lang w:val="en-US" w:eastAsia="zh-CN"/>
        </w:rPr>
        <w:t>2</w:t>
      </w:r>
      <w:r>
        <w:rPr>
          <w:rFonts w:hint="eastAsia"/>
          <w:b w:val="0"/>
        </w:rPr>
        <w:t xml:space="preserve"> 报价产品关键生产设备统计表</w:t>
      </w:r>
      <w:bookmarkEnd w:id="522"/>
      <w:bookmarkEnd w:id="523"/>
      <w:bookmarkEnd w:id="524"/>
      <w:bookmarkEnd w:id="525"/>
      <w:bookmarkEnd w:id="526"/>
      <w:bookmarkEnd w:id="527"/>
      <w:r>
        <w:rPr>
          <w:rFonts w:hint="eastAsia"/>
          <w:b w:val="0"/>
          <w:lang w:eastAsia="zh-CN"/>
        </w:rPr>
        <w:t>（如有）</w:t>
      </w:r>
    </w:p>
    <w:tbl>
      <w:tblPr>
        <w:tblStyle w:val="44"/>
        <w:tblW w:w="9231" w:type="dxa"/>
        <w:tblInd w:w="91" w:type="dxa"/>
        <w:tblLayout w:type="fixed"/>
        <w:tblCellMar>
          <w:top w:w="0" w:type="dxa"/>
          <w:left w:w="108" w:type="dxa"/>
          <w:bottom w:w="0" w:type="dxa"/>
          <w:right w:w="108" w:type="dxa"/>
        </w:tblCellMar>
      </w:tblPr>
      <w:tblGrid>
        <w:gridCol w:w="2144"/>
        <w:gridCol w:w="850"/>
        <w:gridCol w:w="1276"/>
        <w:gridCol w:w="1134"/>
        <w:gridCol w:w="2126"/>
        <w:gridCol w:w="851"/>
        <w:gridCol w:w="850"/>
      </w:tblGrid>
      <w:tr>
        <w:tblPrEx>
          <w:tblCellMar>
            <w:top w:w="0" w:type="dxa"/>
            <w:left w:w="108" w:type="dxa"/>
            <w:bottom w:w="0" w:type="dxa"/>
            <w:right w:w="108" w:type="dxa"/>
          </w:tblCellMar>
        </w:tblPrEx>
        <w:trPr>
          <w:trHeight w:val="697" w:hRule="atLeast"/>
        </w:trPr>
        <w:tc>
          <w:tcPr>
            <w:tcW w:w="9231" w:type="dxa"/>
            <w:gridSpan w:val="7"/>
            <w:tcBorders>
              <w:top w:val="nil"/>
              <w:left w:val="nil"/>
              <w:bottom w:val="nil"/>
              <w:right w:val="nil"/>
            </w:tcBorders>
            <w:vAlign w:val="center"/>
          </w:tcPr>
          <w:p>
            <w:pPr>
              <w:widowControl/>
              <w:jc w:val="center"/>
              <w:rPr>
                <w:rFonts w:ascii="华文中宋" w:hAnsi="华文中宋" w:eastAsia="华文中宋" w:cs="宋体"/>
                <w:bCs/>
                <w:sz w:val="40"/>
                <w:szCs w:val="40"/>
              </w:rPr>
            </w:pPr>
            <w:r>
              <w:rPr>
                <w:rFonts w:hint="eastAsia" w:ascii="黑体" w:hAnsi="黑体" w:eastAsia="黑体" w:cs="黑体"/>
                <w:bCs/>
                <w:sz w:val="36"/>
                <w:szCs w:val="36"/>
              </w:rPr>
              <w:t>报价产品关键生产设备统计表</w:t>
            </w:r>
          </w:p>
        </w:tc>
      </w:tr>
      <w:tr>
        <w:tblPrEx>
          <w:tblCellMar>
            <w:top w:w="0" w:type="dxa"/>
            <w:left w:w="108" w:type="dxa"/>
            <w:bottom w:w="0" w:type="dxa"/>
            <w:right w:w="108" w:type="dxa"/>
          </w:tblCellMar>
        </w:tblPrEx>
        <w:trPr>
          <w:trHeight w:val="780" w:hRule="atLeast"/>
        </w:trPr>
        <w:tc>
          <w:tcPr>
            <w:tcW w:w="21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sz w:val="24"/>
              </w:rPr>
            </w:pPr>
            <w:r>
              <w:rPr>
                <w:rFonts w:hint="eastAsia" w:ascii="黑体" w:hAnsi="黑体" w:eastAsia="黑体" w:cs="黑体"/>
                <w:bCs/>
                <w:sz w:val="24"/>
              </w:rPr>
              <mc:AlternateContent>
                <mc:Choice Requires="wps">
                  <w:drawing>
                    <wp:anchor distT="0" distB="0" distL="114300" distR="114300" simplePos="0" relativeHeight="251665408" behindDoc="0" locked="0" layoutInCell="1" allowOverlap="1">
                      <wp:simplePos x="0" y="0"/>
                      <wp:positionH relativeFrom="column">
                        <wp:posOffset>-52070</wp:posOffset>
                      </wp:positionH>
                      <wp:positionV relativeFrom="paragraph">
                        <wp:posOffset>18415</wp:posOffset>
                      </wp:positionV>
                      <wp:extent cx="1309370" cy="478155"/>
                      <wp:effectExtent l="1905" t="4445" r="14605" b="5080"/>
                      <wp:wrapNone/>
                      <wp:docPr id="5" name="直接箭头连接符 5"/>
                      <wp:cNvGraphicFramePr/>
                      <a:graphic xmlns:a="http://schemas.openxmlformats.org/drawingml/2006/main">
                        <a:graphicData uri="http://schemas.microsoft.com/office/word/2010/wordprocessingShape">
                          <wps:wsp>
                            <wps:cNvCnPr>
                              <a:cxnSpLocks noChangeShapeType="1"/>
                            </wps:cNvCnPr>
                            <wps:spPr bwMode="auto">
                              <a:xfrm>
                                <a:off x="0" y="0"/>
                                <a:ext cx="1309370" cy="47815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4.1pt;margin-top:1.45pt;height:37.65pt;width:103.1pt;z-index:251665408;mso-width-relative:page;mso-height-relative:page;" filled="f" stroked="t" coordsize="21600,21600" o:gfxdata="UEsDBAoAAAAAAIdO4kAAAAAAAAAAAAAAAAAEAAAAZHJzL1BLAwQUAAAACACHTuJAAUJTWtUAAAAH&#10;AQAADwAAAGRycy9kb3ducmV2LnhtbE2PQU+DQBCF7yb+h82YeDHtAokKyNAYEw8ebZt43bIjoOws&#10;YZdS++udnvT45r289021OblBHWkKvWeEdJ2AIm687blF2O9eVzmoEA1bM3gmhB8KsKmvrypTWr/w&#10;Ox23sVVSwqE0CF2MY6l1aDpyJqz9SCzep5+ciSKnVtvJLFLuBp0lyYN2pmdZ6MxILx0139vZIVCY&#10;79PkuXDt/u283H1k569l3CHe3qTJE6hIp/gXhgu+oEMtTAc/sw1qQFjlmSQRsgLUxS5yee2A8Ch3&#10;XVf6P3/9C1BLAwQUAAAACACHTuJAceDxwvwBAADDAwAADgAAAGRycy9lMm9Eb2MueG1srVPNbhMx&#10;EL4j8Q6W72SzKaHtKpseEpVLgUotD+B4vbsWXo/lcbLJS/ACSJyAU+HUO08D5TEYOz+UcumBPVi2&#10;x983830zOzlbd4atlEcNtuT5YMiZshIqbZuSv70+f3bCGQZhK2HAqpJvFPKz6dMnk94VagQtmEp5&#10;RiQWi96VvA3BFVmGslWdwAE4ZSlYg+9EoKNvssqLntg7k42GwxdZD75yHqRCpNv5Nsh3jP4xhFDX&#10;Wqo5yGWnbNiyemVEIEnYaod8mqqtayXDm7pGFZgpOSkNaaUktF/ENZtORNF44VotdyWIx5TwQFMn&#10;tKWkB6q5CIItvf6HqtPSA0IdBhK6bCskOUIq8uEDb65a4VTSQlajO5iO/49Wvl5deqarko85s6Kj&#10;ht99uP35/vPdt68/Pt3++v4x7m++sHG0qndYEGJmL30UK9f2yl2AfIfMwqwVtlGp5OuNI548IrK/&#10;IPGAjhIu+ldQ0RuxDJB8W9e+i5TkCFun9mwO7VHrwCRd5kfD06Nj6pyk2PPjk3ycispEsUc7j+Gl&#10;go7FTckxeKGbNszAWpoE8HnKJVYXGGJtotgDYmoL59qYNBDGsr7kp+PROAEQjK5iMD5D3yxmxrOV&#10;iCOVviSUIvefeVjaapvE2J0PUfrWxAVUm0u/94d6m6rZzWEcnvvnhP7z70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FCU1rVAAAABwEAAA8AAAAAAAAAAQAgAAAAIgAAAGRycy9kb3ducmV2Lnht&#10;bFBLAQIUABQAAAAIAIdO4kBx4PHC/AEAAMMDAAAOAAAAAAAAAAEAIAAAACQBAABkcnMvZTJvRG9j&#10;LnhtbFBLBQYAAAAABgAGAFkBAACSBQAAAAA=&#10;">
                      <v:fill on="f" focussize="0,0"/>
                      <v:stroke color="#000000" joinstyle="round"/>
                      <v:imagedata o:title=""/>
                      <o:lock v:ext="edit" aspectratio="f"/>
                    </v:shape>
                  </w:pict>
                </mc:Fallback>
              </mc:AlternateContent>
            </w:r>
            <w:r>
              <w:rPr>
                <w:rFonts w:ascii="宋体" w:hAnsi="宋体" w:cs="宋体"/>
                <w:bCs/>
                <w:sz w:val="24"/>
              </w:rPr>
              <w:t xml:space="preserve">           项 目</w:t>
            </w:r>
            <w:r>
              <w:rPr>
                <w:rFonts w:ascii="宋体" w:hAnsi="宋体" w:cs="宋体"/>
                <w:bCs/>
                <w:sz w:val="24"/>
              </w:rPr>
              <w:br w:type="textWrapping"/>
            </w:r>
            <w:r>
              <w:rPr>
                <w:rFonts w:hint="eastAsia" w:ascii="宋体" w:hAnsi="宋体" w:cs="宋体"/>
                <w:bCs/>
                <w:sz w:val="24"/>
              </w:rPr>
              <w:t>设备名称</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sz w:val="24"/>
              </w:rPr>
            </w:pPr>
            <w:r>
              <w:rPr>
                <w:rFonts w:hint="eastAsia" w:ascii="宋体" w:hAnsi="宋体" w:cs="宋体"/>
                <w:bCs/>
                <w:sz w:val="24"/>
              </w:rPr>
              <w:t>购买年月</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sz w:val="24"/>
              </w:rPr>
            </w:pPr>
            <w:r>
              <w:rPr>
                <w:rFonts w:hint="eastAsia" w:ascii="宋体" w:hAnsi="宋体" w:cs="宋体"/>
                <w:bCs/>
                <w:sz w:val="24"/>
              </w:rPr>
              <w:t>设备原值</w:t>
            </w:r>
            <w:r>
              <w:rPr>
                <w:rFonts w:ascii="宋体" w:hAnsi="宋体" w:cs="宋体"/>
                <w:bCs/>
                <w:sz w:val="24"/>
              </w:rPr>
              <w:br w:type="textWrapping"/>
            </w:r>
            <w:r>
              <w:rPr>
                <w:rFonts w:hint="eastAsia" w:ascii="宋体" w:hAnsi="宋体" w:cs="宋体"/>
                <w:bCs/>
                <w:sz w:val="24"/>
              </w:rPr>
              <w:t>（万元）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sz w:val="24"/>
              </w:rPr>
            </w:pPr>
            <w:r>
              <w:rPr>
                <w:rFonts w:hint="eastAsia" w:ascii="宋体" w:hAnsi="宋体" w:cs="宋体"/>
                <w:bCs/>
                <w:sz w:val="24"/>
              </w:rPr>
              <w:t>折旧率</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sz w:val="24"/>
              </w:rPr>
            </w:pPr>
            <w:r>
              <w:rPr>
                <w:rFonts w:hint="eastAsia" w:ascii="宋体" w:hAnsi="宋体" w:cs="宋体"/>
                <w:bCs/>
                <w:sz w:val="24"/>
              </w:rPr>
              <w:t>设备净值（万元）</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sz w:val="24"/>
              </w:rPr>
            </w:pPr>
            <w:r>
              <w:rPr>
                <w:rFonts w:hint="eastAsia" w:ascii="宋体" w:hAnsi="宋体" w:cs="宋体"/>
                <w:bCs/>
                <w:sz w:val="24"/>
              </w:rPr>
              <w:t>汇率</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sz w:val="24"/>
              </w:rPr>
            </w:pPr>
            <w:r>
              <w:rPr>
                <w:rFonts w:hint="eastAsia" w:ascii="宋体" w:hAnsi="宋体" w:cs="宋体"/>
                <w:bCs/>
                <w:sz w:val="24"/>
              </w:rPr>
              <w:t>页码</w:t>
            </w:r>
          </w:p>
        </w:tc>
      </w:tr>
      <w:tr>
        <w:tblPrEx>
          <w:tblCellMar>
            <w:top w:w="0" w:type="dxa"/>
            <w:left w:w="108" w:type="dxa"/>
            <w:bottom w:w="0" w:type="dxa"/>
            <w:right w:w="108" w:type="dxa"/>
          </w:tblCellMar>
        </w:tblPrEx>
        <w:trPr>
          <w:trHeight w:val="413" w:hRule="atLeast"/>
        </w:trPr>
        <w:tc>
          <w:tcPr>
            <w:tcW w:w="214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关键设备</w:t>
            </w:r>
            <w:r>
              <w:rPr>
                <w:rFonts w:ascii="宋体" w:hAnsi="宋体" w:cs="宋体"/>
                <w:bCs/>
                <w:sz w:val="24"/>
              </w:rPr>
              <w:t>1合计</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1276"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2126"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r>
      <w:tr>
        <w:tblPrEx>
          <w:tblCellMar>
            <w:top w:w="0" w:type="dxa"/>
            <w:left w:w="108" w:type="dxa"/>
            <w:bottom w:w="0" w:type="dxa"/>
            <w:right w:w="108" w:type="dxa"/>
          </w:tblCellMar>
        </w:tblPrEx>
        <w:trPr>
          <w:trHeight w:val="522" w:hRule="atLeast"/>
        </w:trPr>
        <w:tc>
          <w:tcPr>
            <w:tcW w:w="214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关键设备</w:t>
            </w:r>
            <w:r>
              <w:rPr>
                <w:rFonts w:ascii="宋体" w:hAnsi="宋体" w:cs="宋体"/>
                <w:bCs/>
                <w:sz w:val="24"/>
              </w:rPr>
              <w:t>1</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1276"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2126"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r>
      <w:tr>
        <w:tblPrEx>
          <w:tblCellMar>
            <w:top w:w="0" w:type="dxa"/>
            <w:left w:w="108" w:type="dxa"/>
            <w:bottom w:w="0" w:type="dxa"/>
            <w:right w:w="108" w:type="dxa"/>
          </w:tblCellMar>
        </w:tblPrEx>
        <w:trPr>
          <w:trHeight w:val="522" w:hRule="atLeast"/>
        </w:trPr>
        <w:tc>
          <w:tcPr>
            <w:tcW w:w="214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关键设备</w:t>
            </w:r>
            <w:r>
              <w:rPr>
                <w:rFonts w:ascii="宋体" w:hAnsi="宋体" w:cs="宋体"/>
                <w:bCs/>
                <w:sz w:val="24"/>
              </w:rPr>
              <w:t>1</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1276"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2126"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r>
      <w:tr>
        <w:tblPrEx>
          <w:tblCellMar>
            <w:top w:w="0" w:type="dxa"/>
            <w:left w:w="108" w:type="dxa"/>
            <w:bottom w:w="0" w:type="dxa"/>
            <w:right w:w="108" w:type="dxa"/>
          </w:tblCellMar>
        </w:tblPrEx>
        <w:trPr>
          <w:trHeight w:val="522" w:hRule="atLeast"/>
        </w:trPr>
        <w:tc>
          <w:tcPr>
            <w:tcW w:w="214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1276"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2126"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r>
      <w:tr>
        <w:tblPrEx>
          <w:tblCellMar>
            <w:top w:w="0" w:type="dxa"/>
            <w:left w:w="108" w:type="dxa"/>
            <w:bottom w:w="0" w:type="dxa"/>
            <w:right w:w="108" w:type="dxa"/>
          </w:tblCellMar>
        </w:tblPrEx>
        <w:trPr>
          <w:trHeight w:val="522" w:hRule="atLeast"/>
        </w:trPr>
        <w:tc>
          <w:tcPr>
            <w:tcW w:w="214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关键设备</w:t>
            </w:r>
            <w:r>
              <w:rPr>
                <w:rFonts w:ascii="宋体" w:hAnsi="宋体" w:cs="宋体"/>
                <w:bCs/>
                <w:sz w:val="24"/>
              </w:rPr>
              <w:t>2合计</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1276"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2126"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r>
      <w:tr>
        <w:tblPrEx>
          <w:tblCellMar>
            <w:top w:w="0" w:type="dxa"/>
            <w:left w:w="108" w:type="dxa"/>
            <w:bottom w:w="0" w:type="dxa"/>
            <w:right w:w="108" w:type="dxa"/>
          </w:tblCellMar>
        </w:tblPrEx>
        <w:trPr>
          <w:trHeight w:val="522" w:hRule="atLeast"/>
        </w:trPr>
        <w:tc>
          <w:tcPr>
            <w:tcW w:w="214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关键设备</w:t>
            </w:r>
            <w:r>
              <w:rPr>
                <w:rFonts w:ascii="宋体" w:hAnsi="宋体" w:cs="宋体"/>
                <w:bCs/>
                <w:sz w:val="24"/>
              </w:rPr>
              <w:t>2</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1276"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2126"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r>
      <w:tr>
        <w:tblPrEx>
          <w:tblCellMar>
            <w:top w:w="0" w:type="dxa"/>
            <w:left w:w="108" w:type="dxa"/>
            <w:bottom w:w="0" w:type="dxa"/>
            <w:right w:w="108" w:type="dxa"/>
          </w:tblCellMar>
        </w:tblPrEx>
        <w:trPr>
          <w:trHeight w:val="522" w:hRule="atLeast"/>
        </w:trPr>
        <w:tc>
          <w:tcPr>
            <w:tcW w:w="214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关键设备</w:t>
            </w:r>
            <w:r>
              <w:rPr>
                <w:rFonts w:ascii="宋体" w:hAnsi="宋体" w:cs="宋体"/>
                <w:bCs/>
                <w:sz w:val="24"/>
              </w:rPr>
              <w:t>2</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1276"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2126"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r>
      <w:tr>
        <w:tblPrEx>
          <w:tblCellMar>
            <w:top w:w="0" w:type="dxa"/>
            <w:left w:w="108" w:type="dxa"/>
            <w:bottom w:w="0" w:type="dxa"/>
            <w:right w:w="108" w:type="dxa"/>
          </w:tblCellMar>
        </w:tblPrEx>
        <w:trPr>
          <w:trHeight w:val="271" w:hRule="atLeast"/>
        </w:trPr>
        <w:tc>
          <w:tcPr>
            <w:tcW w:w="214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1276"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2126"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r>
      <w:tr>
        <w:tblPrEx>
          <w:tblCellMar>
            <w:top w:w="0" w:type="dxa"/>
            <w:left w:w="108" w:type="dxa"/>
            <w:bottom w:w="0" w:type="dxa"/>
            <w:right w:w="108" w:type="dxa"/>
          </w:tblCellMar>
        </w:tblPrEx>
        <w:trPr>
          <w:trHeight w:val="522" w:hRule="atLeast"/>
        </w:trPr>
        <w:tc>
          <w:tcPr>
            <w:tcW w:w="214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关键设备</w:t>
            </w:r>
            <w:r>
              <w:rPr>
                <w:rFonts w:ascii="宋体" w:hAnsi="宋体" w:cs="宋体"/>
                <w:bCs/>
                <w:sz w:val="24"/>
              </w:rPr>
              <w:t>3合计</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1276"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2126"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r>
      <w:tr>
        <w:tblPrEx>
          <w:tblCellMar>
            <w:top w:w="0" w:type="dxa"/>
            <w:left w:w="108" w:type="dxa"/>
            <w:bottom w:w="0" w:type="dxa"/>
            <w:right w:w="108" w:type="dxa"/>
          </w:tblCellMar>
        </w:tblPrEx>
        <w:trPr>
          <w:trHeight w:val="522" w:hRule="atLeast"/>
        </w:trPr>
        <w:tc>
          <w:tcPr>
            <w:tcW w:w="214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关键设备</w:t>
            </w:r>
            <w:r>
              <w:rPr>
                <w:rFonts w:ascii="宋体" w:hAnsi="宋体" w:cs="宋体"/>
                <w:bCs/>
                <w:sz w:val="24"/>
              </w:rPr>
              <w:t>3</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1276"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2126"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r>
      <w:tr>
        <w:tblPrEx>
          <w:tblCellMar>
            <w:top w:w="0" w:type="dxa"/>
            <w:left w:w="108" w:type="dxa"/>
            <w:bottom w:w="0" w:type="dxa"/>
            <w:right w:w="108" w:type="dxa"/>
          </w:tblCellMar>
        </w:tblPrEx>
        <w:trPr>
          <w:trHeight w:val="522" w:hRule="atLeast"/>
        </w:trPr>
        <w:tc>
          <w:tcPr>
            <w:tcW w:w="214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关键设备</w:t>
            </w:r>
            <w:r>
              <w:rPr>
                <w:rFonts w:ascii="宋体" w:hAnsi="宋体" w:cs="宋体"/>
                <w:bCs/>
                <w:sz w:val="24"/>
              </w:rPr>
              <w:t>3</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1276"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2126"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bCs/>
                <w:sz w:val="24"/>
              </w:rPr>
            </w:pPr>
            <w:r>
              <w:rPr>
                <w:rFonts w:hint="eastAsia" w:ascii="宋体" w:hAnsi="宋体" w:cs="宋体"/>
                <w:bCs/>
                <w:sz w:val="24"/>
              </w:rPr>
              <w:t>　</w:t>
            </w:r>
          </w:p>
        </w:tc>
      </w:tr>
      <w:tr>
        <w:tblPrEx>
          <w:tblCellMar>
            <w:top w:w="0" w:type="dxa"/>
            <w:left w:w="108" w:type="dxa"/>
            <w:bottom w:w="0" w:type="dxa"/>
            <w:right w:w="108" w:type="dxa"/>
          </w:tblCellMar>
        </w:tblPrEx>
        <w:trPr>
          <w:trHeight w:val="4338" w:hRule="atLeast"/>
        </w:trPr>
        <w:tc>
          <w:tcPr>
            <w:tcW w:w="9231" w:type="dxa"/>
            <w:gridSpan w:val="7"/>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bCs/>
                <w:sz w:val="24"/>
              </w:rPr>
            </w:pPr>
            <w:r>
              <w:rPr>
                <w:rFonts w:hint="eastAsia" w:ascii="宋体" w:hAnsi="宋体" w:cs="宋体"/>
                <w:bCs/>
                <w:sz w:val="24"/>
              </w:rPr>
              <w:t>说明：</w:t>
            </w:r>
            <w:r>
              <w:rPr>
                <w:rFonts w:ascii="宋体" w:hAnsi="宋体" w:cs="宋体"/>
                <w:bCs/>
                <w:sz w:val="24"/>
              </w:rPr>
              <w:br w:type="textWrapping"/>
            </w:r>
            <w:r>
              <w:rPr>
                <w:rFonts w:ascii="宋体" w:hAnsi="宋体" w:cs="宋体"/>
                <w:bCs/>
                <w:sz w:val="24"/>
              </w:rPr>
              <w:t xml:space="preserve">    1.只需提供</w:t>
            </w:r>
            <w:r>
              <w:rPr>
                <w:rFonts w:ascii="宋体" w:hAnsi="宋体" w:cs="宋体"/>
                <w:bCs/>
                <w:sz w:val="24"/>
                <w:u w:val="single"/>
              </w:rPr>
              <w:t xml:space="preserve">     </w:t>
            </w:r>
            <w:r>
              <w:rPr>
                <w:rFonts w:hint="eastAsia" w:ascii="宋体" w:hAnsi="宋体" w:cs="宋体"/>
                <w:bCs/>
                <w:sz w:val="24"/>
              </w:rPr>
              <w:t>年内的相关设备相关材料，谈判截止时间当年度购买的设备净值按</w:t>
            </w:r>
            <w:r>
              <w:rPr>
                <w:rFonts w:ascii="宋体" w:hAnsi="宋体" w:cs="宋体"/>
                <w:bCs/>
                <w:sz w:val="24"/>
              </w:rPr>
              <w:t>100%计算（谈判截止时间前3个月后购买的设备无效），每向前一个年度折旧率递增</w:t>
            </w:r>
            <w:r>
              <w:rPr>
                <w:rFonts w:ascii="宋体" w:hAnsi="宋体" w:cs="宋体"/>
                <w:bCs/>
                <w:sz w:val="24"/>
                <w:u w:val="single"/>
              </w:rPr>
              <w:t xml:space="preserve">   </w:t>
            </w:r>
            <w:r>
              <w:rPr>
                <w:rFonts w:ascii="宋体" w:hAnsi="宋体" w:cs="宋体"/>
                <w:bCs/>
                <w:sz w:val="24"/>
              </w:rPr>
              <w:t>%，即</w:t>
            </w:r>
            <w:r>
              <w:rPr>
                <w:rFonts w:ascii="宋体" w:hAnsi="宋体" w:cs="宋体"/>
                <w:bCs/>
                <w:sz w:val="24"/>
                <w:u w:val="single"/>
              </w:rPr>
              <w:t xml:space="preserve">   </w:t>
            </w:r>
            <w:r>
              <w:rPr>
                <w:rFonts w:hint="eastAsia" w:ascii="宋体" w:hAnsi="宋体" w:cs="宋体"/>
                <w:bCs/>
                <w:sz w:val="24"/>
              </w:rPr>
              <w:t>年</w:t>
            </w:r>
            <w:r>
              <w:rPr>
                <w:rFonts w:ascii="宋体" w:hAnsi="宋体" w:cs="宋体"/>
                <w:bCs/>
                <w:sz w:val="24"/>
              </w:rPr>
              <w:t>1月前购买的设备净值为0。</w:t>
            </w:r>
            <w:r>
              <w:rPr>
                <w:rFonts w:ascii="宋体" w:hAnsi="宋体" w:cs="宋体"/>
                <w:bCs/>
                <w:sz w:val="24"/>
              </w:rPr>
              <w:br w:type="textWrapping"/>
            </w:r>
            <w:r>
              <w:rPr>
                <w:rFonts w:ascii="宋体" w:hAnsi="宋体" w:cs="宋体"/>
                <w:bCs/>
                <w:sz w:val="24"/>
              </w:rPr>
              <w:t xml:space="preserve">    2.进口设备需填写设备购买当年12月31日汇率，并按照该汇率计算设备购买金额。</w:t>
            </w:r>
            <w:r>
              <w:rPr>
                <w:rFonts w:ascii="宋体" w:hAnsi="宋体" w:cs="宋体"/>
                <w:bCs/>
                <w:sz w:val="24"/>
              </w:rPr>
              <w:br w:type="textWrapping"/>
            </w:r>
            <w:r>
              <w:rPr>
                <w:rFonts w:ascii="宋体" w:hAnsi="宋体" w:cs="宋体"/>
                <w:bCs/>
                <w:sz w:val="24"/>
              </w:rPr>
              <w:t xml:space="preserve">    3.设备净值＝设备原值－设备原值*折旧率。</w:t>
            </w:r>
            <w:r>
              <w:rPr>
                <w:rFonts w:ascii="宋体" w:hAnsi="宋体" w:cs="宋体"/>
                <w:bCs/>
                <w:sz w:val="24"/>
              </w:rPr>
              <w:br w:type="textWrapping"/>
            </w:r>
            <w:r>
              <w:rPr>
                <w:rFonts w:ascii="宋体" w:hAnsi="宋体" w:cs="宋体"/>
                <w:bCs/>
                <w:sz w:val="24"/>
              </w:rPr>
              <w:t xml:space="preserve">    4.每种设备均需附购置票据复印件，进口设备需附进口报关单复印件，复印件不清晰的视为无效设备。</w:t>
            </w:r>
            <w:r>
              <w:rPr>
                <w:rFonts w:ascii="宋体" w:hAnsi="宋体" w:cs="宋体"/>
                <w:bCs/>
                <w:sz w:val="24"/>
              </w:rPr>
              <w:br w:type="textWrapping"/>
            </w:r>
            <w:r>
              <w:rPr>
                <w:rFonts w:ascii="宋体" w:hAnsi="宋体" w:cs="宋体"/>
                <w:bCs/>
                <w:sz w:val="24"/>
              </w:rPr>
              <w:t xml:space="preserve">    5.“页码”栏中填写该设备证明材料所在“商务技术文件”中的页码位置。</w:t>
            </w:r>
            <w:r>
              <w:rPr>
                <w:rFonts w:ascii="宋体" w:hAnsi="宋体" w:cs="宋体"/>
                <w:bCs/>
                <w:sz w:val="24"/>
              </w:rPr>
              <w:br w:type="textWrapping"/>
            </w:r>
            <w:r>
              <w:rPr>
                <w:rFonts w:ascii="宋体" w:hAnsi="宋体" w:cs="宋体"/>
                <w:bCs/>
                <w:sz w:val="24"/>
              </w:rPr>
              <w:t xml:space="preserve">    6.计算关键重要生产设备时，评委可以先按企业所报设备价值进行计分，然后按企业商务技术总得分由高至低排序，再从第1名开始，对企业单项得分最高的设备价值进行复核。专家复核认可的设备价值低于企业填报数值的，所有品种设备价值均按同比例核减。</w:t>
            </w:r>
            <w:r>
              <w:rPr>
                <w:rFonts w:hint="eastAsia" w:ascii="宋体" w:hAnsi="宋体" w:cs="宋体"/>
                <w:bCs/>
                <w:sz w:val="24"/>
              </w:rPr>
              <w:t>　</w:t>
            </w:r>
          </w:p>
        </w:tc>
      </w:tr>
    </w:tbl>
    <w:p>
      <w:pPr>
        <w:pStyle w:val="6"/>
        <w:spacing w:after="280" w:line="560" w:lineRule="exact"/>
        <w:rPr>
          <w:rFonts w:ascii="宋体" w:hAnsi="宋体"/>
          <w:b w:val="0"/>
        </w:rPr>
      </w:pPr>
      <w:r>
        <w:rPr>
          <w:b w:val="0"/>
          <w:lang w:val="zh-CN"/>
        </w:rPr>
        <w:br w:type="page"/>
      </w:r>
      <w:r>
        <w:rPr>
          <w:rFonts w:hint="eastAsia"/>
          <w:b w:val="0"/>
          <w:lang w:val="zh-CN"/>
        </w:rPr>
        <w:t>附件2-1</w:t>
      </w:r>
      <w:r>
        <w:rPr>
          <w:rFonts w:hint="eastAsia"/>
          <w:b w:val="0"/>
          <w:lang w:val="en-US" w:eastAsia="zh-CN"/>
        </w:rPr>
        <w:t>3</w:t>
      </w:r>
      <w:r>
        <w:rPr>
          <w:rFonts w:hint="eastAsia"/>
          <w:b w:val="0"/>
          <w:lang w:val="zh-CN"/>
        </w:rPr>
        <w:t xml:space="preserve"> 技术力量清单及证明材料（如有）</w:t>
      </w:r>
    </w:p>
    <w:p>
      <w:pPr>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技术力量清单及证明材料</w:t>
      </w:r>
    </w:p>
    <w:p>
      <w:pPr>
        <w:spacing w:line="560" w:lineRule="exact"/>
        <w:ind w:firstLine="560" w:firstLineChars="200"/>
        <w:jc w:val="left"/>
        <w:rPr>
          <w:rFonts w:ascii="宋体" w:hAnsi="宋体" w:cs="宋体"/>
          <w:bCs/>
          <w:sz w:val="28"/>
          <w:szCs w:val="28"/>
          <w:lang w:val="zh-CN"/>
        </w:rPr>
      </w:pPr>
      <w:r>
        <w:rPr>
          <w:rFonts w:hint="eastAsia" w:ascii="宋体" w:hAnsi="宋体" w:cs="宋体"/>
          <w:bCs/>
          <w:sz w:val="28"/>
          <w:szCs w:val="28"/>
          <w:lang w:val="zh-CN"/>
        </w:rPr>
        <w:t>（由报价供应商根据项目需求及技术评审标准表中“技术力量”评审标准自行拟定，并后附</w:t>
      </w:r>
      <w:r>
        <w:rPr>
          <w:rFonts w:hint="eastAsia"/>
          <w:bCs/>
          <w:sz w:val="28"/>
          <w:szCs w:val="28"/>
          <w:lang w:val="zh-CN"/>
        </w:rPr>
        <w:t>评审标准要求的</w:t>
      </w:r>
      <w:r>
        <w:rPr>
          <w:rFonts w:hint="eastAsia" w:ascii="宋体" w:hAnsi="宋体" w:cs="宋体"/>
          <w:bCs/>
          <w:sz w:val="28"/>
          <w:szCs w:val="28"/>
          <w:lang w:val="zh-CN"/>
        </w:rPr>
        <w:t>证明</w:t>
      </w:r>
      <w:r>
        <w:rPr>
          <w:rFonts w:hint="eastAsia" w:ascii="宋体" w:hAnsi="宋体"/>
          <w:bCs/>
          <w:sz w:val="28"/>
          <w:szCs w:val="28"/>
        </w:rPr>
        <w:t>材料。</w:t>
      </w:r>
      <w:r>
        <w:rPr>
          <w:rFonts w:hint="eastAsia" w:ascii="宋体" w:hAnsi="宋体" w:cs="宋体"/>
          <w:bCs/>
          <w:sz w:val="28"/>
          <w:szCs w:val="28"/>
          <w:lang w:val="zh-CN"/>
        </w:rPr>
        <w:t>）</w:t>
      </w:r>
    </w:p>
    <w:p>
      <w:pPr>
        <w:autoSpaceDE w:val="0"/>
        <w:autoSpaceDN w:val="0"/>
        <w:adjustRightInd w:val="0"/>
        <w:rPr>
          <w:bCs/>
          <w:sz w:val="28"/>
          <w:szCs w:val="28"/>
          <w:lang w:val="zh-CN"/>
        </w:rPr>
      </w:pPr>
    </w:p>
    <w:p>
      <w:pPr>
        <w:autoSpaceDE w:val="0"/>
        <w:autoSpaceDN w:val="0"/>
        <w:adjustRightInd w:val="0"/>
        <w:rPr>
          <w:bCs/>
          <w:sz w:val="28"/>
          <w:szCs w:val="28"/>
          <w:lang w:val="zh-CN"/>
        </w:rPr>
      </w:pPr>
    </w:p>
    <w:p>
      <w:pPr>
        <w:rPr>
          <w:rFonts w:hint="eastAsia"/>
          <w:b w:val="0"/>
          <w:bCs/>
        </w:rPr>
      </w:pPr>
      <w:r>
        <w:rPr>
          <w:rFonts w:hint="eastAsia"/>
          <w:b w:val="0"/>
          <w:bCs/>
        </w:rPr>
        <w:br w:type="page"/>
      </w:r>
    </w:p>
    <w:p>
      <w:pPr>
        <w:pStyle w:val="6"/>
        <w:keepNext/>
        <w:keepLines/>
        <w:pageBreakBefore w:val="0"/>
        <w:widowControl w:val="0"/>
        <w:kinsoku/>
        <w:wordWrap/>
        <w:overflowPunct/>
        <w:topLinePunct w:val="0"/>
        <w:autoSpaceDE/>
        <w:autoSpaceDN/>
        <w:bidi w:val="0"/>
        <w:adjustRightInd/>
        <w:snapToGrid/>
        <w:spacing w:before="195" w:beforeLines="50" w:after="195" w:afterLines="50" w:line="560" w:lineRule="exact"/>
        <w:textAlignment w:val="auto"/>
        <w:rPr>
          <w:rFonts w:hint="eastAsia" w:eastAsia="黑体"/>
          <w:b w:val="0"/>
          <w:bCs/>
          <w:lang w:eastAsia="zh-CN"/>
        </w:rPr>
      </w:pPr>
      <w:r>
        <w:rPr>
          <w:rFonts w:hint="eastAsia"/>
          <w:b w:val="0"/>
          <w:bCs/>
        </w:rPr>
        <w:t>附件</w:t>
      </w:r>
      <w:r>
        <w:rPr>
          <w:b w:val="0"/>
          <w:bCs/>
        </w:rPr>
        <w:t xml:space="preserve">2-14 </w:t>
      </w:r>
      <w:r>
        <w:rPr>
          <w:rFonts w:hint="eastAsia"/>
          <w:b w:val="0"/>
          <w:bCs/>
          <w:lang w:eastAsia="zh-CN"/>
        </w:rPr>
        <w:t>报价</w:t>
      </w:r>
      <w:r>
        <w:rPr>
          <w:rFonts w:hint="eastAsia"/>
          <w:b w:val="0"/>
          <w:bCs/>
        </w:rPr>
        <w:t>供应商专利技术证书</w:t>
      </w:r>
      <w:r>
        <w:rPr>
          <w:rFonts w:hint="eastAsia"/>
          <w:b w:val="0"/>
          <w:bCs/>
          <w:lang w:eastAsia="zh-CN"/>
        </w:rPr>
        <w:t>（</w:t>
      </w:r>
      <w:r>
        <w:rPr>
          <w:rFonts w:hint="eastAsia"/>
          <w:b w:val="0"/>
          <w:bCs/>
          <w:lang w:val="en-US" w:eastAsia="zh-CN"/>
        </w:rPr>
        <w:t>如有</w:t>
      </w:r>
      <w:r>
        <w:rPr>
          <w:rFonts w:hint="eastAsia"/>
          <w:b w:val="0"/>
          <w:bCs/>
          <w:lang w:eastAsia="zh-CN"/>
        </w:rPr>
        <w:t>）</w:t>
      </w:r>
    </w:p>
    <w:p>
      <w:pPr>
        <w:keepNext w:val="0"/>
        <w:keepLines w:val="0"/>
        <w:pageBreakBefore w:val="0"/>
        <w:widowControl w:val="0"/>
        <w:kinsoku/>
        <w:wordWrap/>
        <w:overflowPunct/>
        <w:topLinePunct w:val="0"/>
        <w:autoSpaceDE/>
        <w:autoSpaceDN/>
        <w:bidi w:val="0"/>
        <w:adjustRightInd/>
        <w:snapToGrid/>
        <w:spacing w:before="195" w:beforeLines="50" w:after="195" w:afterLines="50" w:line="560" w:lineRule="exact"/>
        <w:jc w:val="center"/>
        <w:textAlignment w:val="auto"/>
        <w:rPr>
          <w:rFonts w:hint="eastAsia" w:ascii="黑体" w:hAnsi="黑体" w:eastAsia="黑体" w:cs="黑体"/>
          <w:b w:val="0"/>
          <w:bCs/>
          <w:sz w:val="36"/>
          <w:szCs w:val="36"/>
          <w:lang w:val="zh-CN"/>
        </w:rPr>
      </w:pPr>
      <w:r>
        <w:rPr>
          <w:rFonts w:hint="eastAsia" w:ascii="黑体" w:hAnsi="黑体" w:eastAsia="黑体" w:cs="黑体"/>
          <w:b w:val="0"/>
          <w:bCs/>
          <w:sz w:val="36"/>
          <w:szCs w:val="36"/>
          <w:lang w:val="zh-CN"/>
        </w:rPr>
        <w:t>报价供应商专利技术证书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b w:val="0"/>
          <w:bCs/>
          <w:sz w:val="28"/>
          <w:szCs w:val="28"/>
          <w:lang w:val="zh-CN"/>
        </w:rPr>
      </w:pPr>
      <w:r>
        <w:rPr>
          <w:rFonts w:hint="eastAsia"/>
          <w:b w:val="0"/>
          <w:bCs/>
          <w:sz w:val="28"/>
          <w:szCs w:val="28"/>
          <w:lang w:val="zh-CN"/>
        </w:rPr>
        <w:t>（由报价供应商自行拟定，包括发明专利、实用新型专利）</w:t>
      </w:r>
    </w:p>
    <w:p>
      <w:pPr>
        <w:autoSpaceDE w:val="0"/>
        <w:autoSpaceDN w:val="0"/>
        <w:adjustRightInd w:val="0"/>
        <w:rPr>
          <w:bCs/>
          <w:sz w:val="28"/>
          <w:szCs w:val="28"/>
          <w:lang w:val="zh-CN"/>
        </w:rPr>
      </w:pPr>
      <w:r>
        <w:rPr>
          <w:b w:val="0"/>
          <w:snapToGrid w:val="0"/>
        </w:rPr>
        <w:br w:type="page"/>
      </w:r>
    </w:p>
    <w:p>
      <w:pPr>
        <w:pStyle w:val="6"/>
        <w:keepNext/>
        <w:keepLines/>
        <w:pageBreakBefore w:val="0"/>
        <w:widowControl w:val="0"/>
        <w:kinsoku/>
        <w:wordWrap/>
        <w:overflowPunct/>
        <w:topLinePunct w:val="0"/>
        <w:autoSpaceDE/>
        <w:autoSpaceDN/>
        <w:bidi w:val="0"/>
        <w:adjustRightInd/>
        <w:snapToGrid/>
        <w:spacing w:before="195" w:beforeLines="50" w:after="195" w:afterLines="50" w:line="560" w:lineRule="exact"/>
        <w:textAlignment w:val="auto"/>
        <w:rPr>
          <w:rFonts w:hint="eastAsia" w:cs="Times New Roman"/>
          <w:b w:val="0"/>
          <w:bCs/>
          <w:lang w:eastAsia="zh-CN"/>
        </w:rPr>
      </w:pPr>
      <w:bookmarkStart w:id="528" w:name="_Toc3375"/>
      <w:bookmarkStart w:id="529" w:name="_Toc30176"/>
      <w:bookmarkStart w:id="530" w:name="_Toc5020"/>
      <w:bookmarkStart w:id="531" w:name="_Toc3611"/>
      <w:bookmarkStart w:id="532" w:name="_Toc9771"/>
      <w:bookmarkStart w:id="533" w:name="_Toc112768473"/>
      <w:r>
        <w:rPr>
          <w:rFonts w:hint="eastAsia" w:cs="Times New Roman"/>
          <w:b w:val="0"/>
          <w:bCs/>
          <w:lang w:eastAsia="zh-CN"/>
        </w:rPr>
        <w:t>附件2-</w:t>
      </w:r>
      <w:bookmarkEnd w:id="528"/>
      <w:bookmarkEnd w:id="529"/>
      <w:bookmarkEnd w:id="530"/>
      <w:bookmarkEnd w:id="531"/>
      <w:bookmarkEnd w:id="532"/>
      <w:bookmarkEnd w:id="533"/>
      <w:r>
        <w:rPr>
          <w:rFonts w:hint="eastAsia" w:cs="Times New Roman"/>
          <w:b w:val="0"/>
          <w:bCs/>
          <w:lang w:eastAsia="zh-CN"/>
        </w:rPr>
        <w:t>1</w:t>
      </w:r>
      <w:r>
        <w:rPr>
          <w:rFonts w:hint="eastAsia" w:cs="Times New Roman"/>
          <w:b w:val="0"/>
          <w:bCs/>
          <w:lang w:val="en-US" w:eastAsia="zh-CN"/>
        </w:rPr>
        <w:t>5</w:t>
      </w:r>
      <w:r>
        <w:rPr>
          <w:rFonts w:hint="eastAsia" w:cs="Times New Roman"/>
          <w:b w:val="0"/>
          <w:bCs/>
          <w:lang w:eastAsia="zh-CN"/>
        </w:rPr>
        <w:t>同类项目业绩</w:t>
      </w:r>
    </w:p>
    <w:p>
      <w:pPr>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同类项目业绩</w:t>
      </w:r>
    </w:p>
    <w:p>
      <w:pPr>
        <w:rPr>
          <w:bCs/>
          <w:sz w:val="28"/>
          <w:szCs w:val="28"/>
        </w:rPr>
      </w:pPr>
      <w:r>
        <w:rPr>
          <w:rFonts w:hint="eastAsia"/>
          <w:bCs/>
          <w:sz w:val="28"/>
          <w:szCs w:val="28"/>
        </w:rPr>
        <w:t>项目名称：</w:t>
      </w:r>
      <w:r>
        <w:rPr>
          <w:bCs/>
          <w:sz w:val="28"/>
          <w:szCs w:val="28"/>
          <w:u w:val="single"/>
        </w:rPr>
        <w:t xml:space="preserve">          </w:t>
      </w:r>
      <w:r>
        <w:rPr>
          <w:rFonts w:hint="eastAsia"/>
          <w:bCs/>
          <w:sz w:val="28"/>
          <w:szCs w:val="28"/>
        </w:rPr>
        <w:t xml:space="preserve">    项目编号：</w:t>
      </w:r>
      <w:r>
        <w:rPr>
          <w:bCs/>
          <w:sz w:val="28"/>
          <w:szCs w:val="28"/>
          <w:u w:val="single"/>
        </w:rPr>
        <w:t xml:space="preserve">            </w:t>
      </w:r>
      <w:r>
        <w:rPr>
          <w:rFonts w:hint="eastAsia"/>
          <w:bCs/>
          <w:sz w:val="28"/>
          <w:szCs w:val="28"/>
        </w:rPr>
        <w:t xml:space="preserve">   包号：</w:t>
      </w:r>
      <w:r>
        <w:rPr>
          <w:bCs/>
          <w:sz w:val="28"/>
          <w:szCs w:val="28"/>
          <w:u w:val="single"/>
        </w:rPr>
        <w:t xml:space="preserve">         </w:t>
      </w:r>
    </w:p>
    <w:tbl>
      <w:tblPr>
        <w:tblStyle w:val="4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2"/>
        <w:gridCol w:w="762"/>
        <w:gridCol w:w="802"/>
        <w:gridCol w:w="2138"/>
        <w:gridCol w:w="1548"/>
        <w:gridCol w:w="756"/>
        <w:gridCol w:w="1483"/>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3" w:hRule="exact"/>
        </w:trPr>
        <w:tc>
          <w:tcPr>
            <w:tcW w:w="42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序号</w:t>
            </w:r>
          </w:p>
        </w:tc>
        <w:tc>
          <w:tcPr>
            <w:tcW w:w="39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用户名称</w:t>
            </w:r>
          </w:p>
        </w:tc>
        <w:tc>
          <w:tcPr>
            <w:tcW w:w="41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项目名称</w:t>
            </w:r>
          </w:p>
        </w:tc>
        <w:tc>
          <w:tcPr>
            <w:tcW w:w="111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项目内容</w:t>
            </w:r>
          </w:p>
        </w:tc>
        <w:tc>
          <w:tcPr>
            <w:tcW w:w="80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合同有效金额（万元）</w:t>
            </w:r>
          </w:p>
        </w:tc>
        <w:tc>
          <w:tcPr>
            <w:tcW w:w="3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签订日期</w:t>
            </w:r>
          </w:p>
        </w:tc>
        <w:tc>
          <w:tcPr>
            <w:tcW w:w="77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用户联系人及电话</w:t>
            </w:r>
          </w:p>
        </w:tc>
        <w:tc>
          <w:tcPr>
            <w:tcW w:w="66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exact"/>
        </w:trPr>
        <w:tc>
          <w:tcPr>
            <w:tcW w:w="424" w:type="pct"/>
            <w:tcBorders>
              <w:top w:val="single" w:color="auto" w:sz="4" w:space="0"/>
              <w:left w:val="single" w:color="auto" w:sz="4" w:space="0"/>
              <w:bottom w:val="single" w:color="auto" w:sz="4" w:space="0"/>
              <w:right w:val="single" w:color="auto" w:sz="4" w:space="0"/>
            </w:tcBorders>
          </w:tcPr>
          <w:p>
            <w:pPr>
              <w:rPr>
                <w:bCs/>
                <w:sz w:val="24"/>
              </w:rPr>
            </w:pPr>
          </w:p>
        </w:tc>
        <w:tc>
          <w:tcPr>
            <w:tcW w:w="398" w:type="pct"/>
            <w:tcBorders>
              <w:top w:val="single" w:color="auto" w:sz="4" w:space="0"/>
              <w:left w:val="single" w:color="auto" w:sz="4" w:space="0"/>
              <w:bottom w:val="single" w:color="auto" w:sz="4" w:space="0"/>
              <w:right w:val="single" w:color="auto" w:sz="4" w:space="0"/>
            </w:tcBorders>
          </w:tcPr>
          <w:p>
            <w:pPr>
              <w:rPr>
                <w:bCs/>
                <w:sz w:val="24"/>
              </w:rPr>
            </w:pPr>
          </w:p>
        </w:tc>
        <w:tc>
          <w:tcPr>
            <w:tcW w:w="419" w:type="pct"/>
            <w:tcBorders>
              <w:top w:val="single" w:color="auto" w:sz="4" w:space="0"/>
              <w:left w:val="single" w:color="auto" w:sz="4" w:space="0"/>
              <w:bottom w:val="single" w:color="auto" w:sz="4" w:space="0"/>
              <w:right w:val="single" w:color="auto" w:sz="4" w:space="0"/>
            </w:tcBorders>
          </w:tcPr>
          <w:p>
            <w:pPr>
              <w:rPr>
                <w:bCs/>
                <w:sz w:val="24"/>
              </w:rPr>
            </w:pPr>
          </w:p>
        </w:tc>
        <w:tc>
          <w:tcPr>
            <w:tcW w:w="1117" w:type="pct"/>
            <w:tcBorders>
              <w:top w:val="single" w:color="auto" w:sz="4" w:space="0"/>
              <w:left w:val="single" w:color="auto" w:sz="4" w:space="0"/>
              <w:bottom w:val="single" w:color="auto" w:sz="4" w:space="0"/>
              <w:right w:val="single" w:color="auto" w:sz="4" w:space="0"/>
            </w:tcBorders>
          </w:tcPr>
          <w:p>
            <w:pPr>
              <w:rPr>
                <w:bCs/>
                <w:sz w:val="24"/>
              </w:rPr>
            </w:pPr>
          </w:p>
        </w:tc>
        <w:tc>
          <w:tcPr>
            <w:tcW w:w="809" w:type="pct"/>
            <w:tcBorders>
              <w:top w:val="single" w:color="auto" w:sz="4" w:space="0"/>
              <w:left w:val="single" w:color="auto" w:sz="4" w:space="0"/>
              <w:bottom w:val="single" w:color="auto" w:sz="4" w:space="0"/>
              <w:right w:val="single" w:color="auto" w:sz="4" w:space="0"/>
            </w:tcBorders>
          </w:tcPr>
          <w:p>
            <w:pPr>
              <w:rPr>
                <w:bCs/>
                <w:sz w:val="24"/>
              </w:rPr>
            </w:pPr>
          </w:p>
        </w:tc>
        <w:tc>
          <w:tcPr>
            <w:tcW w:w="395" w:type="pct"/>
            <w:tcBorders>
              <w:top w:val="single" w:color="auto" w:sz="4" w:space="0"/>
              <w:left w:val="single" w:color="auto" w:sz="4" w:space="0"/>
              <w:bottom w:val="single" w:color="auto" w:sz="4" w:space="0"/>
              <w:right w:val="single" w:color="auto" w:sz="4" w:space="0"/>
            </w:tcBorders>
          </w:tcPr>
          <w:p>
            <w:pPr>
              <w:rPr>
                <w:bCs/>
                <w:sz w:val="24"/>
              </w:rPr>
            </w:pPr>
          </w:p>
        </w:tc>
        <w:tc>
          <w:tcPr>
            <w:tcW w:w="775" w:type="pct"/>
            <w:tcBorders>
              <w:top w:val="single" w:color="auto" w:sz="4" w:space="0"/>
              <w:left w:val="single" w:color="auto" w:sz="4" w:space="0"/>
              <w:bottom w:val="single" w:color="auto" w:sz="4" w:space="0"/>
              <w:right w:val="single" w:color="auto" w:sz="4" w:space="0"/>
            </w:tcBorders>
          </w:tcPr>
          <w:p>
            <w:pPr>
              <w:rPr>
                <w:bCs/>
                <w:sz w:val="24"/>
              </w:rPr>
            </w:pPr>
          </w:p>
        </w:tc>
        <w:tc>
          <w:tcPr>
            <w:tcW w:w="663" w:type="pct"/>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exact"/>
        </w:trPr>
        <w:tc>
          <w:tcPr>
            <w:tcW w:w="424" w:type="pct"/>
            <w:tcBorders>
              <w:top w:val="single" w:color="auto" w:sz="4" w:space="0"/>
              <w:left w:val="single" w:color="auto" w:sz="4" w:space="0"/>
              <w:bottom w:val="single" w:color="auto" w:sz="4" w:space="0"/>
              <w:right w:val="single" w:color="auto" w:sz="4" w:space="0"/>
            </w:tcBorders>
          </w:tcPr>
          <w:p>
            <w:pPr>
              <w:rPr>
                <w:bCs/>
                <w:sz w:val="24"/>
              </w:rPr>
            </w:pPr>
          </w:p>
        </w:tc>
        <w:tc>
          <w:tcPr>
            <w:tcW w:w="398" w:type="pct"/>
            <w:tcBorders>
              <w:top w:val="single" w:color="auto" w:sz="4" w:space="0"/>
              <w:left w:val="single" w:color="auto" w:sz="4" w:space="0"/>
              <w:bottom w:val="single" w:color="auto" w:sz="4" w:space="0"/>
              <w:right w:val="single" w:color="auto" w:sz="4" w:space="0"/>
            </w:tcBorders>
          </w:tcPr>
          <w:p>
            <w:pPr>
              <w:rPr>
                <w:bCs/>
                <w:sz w:val="24"/>
              </w:rPr>
            </w:pPr>
          </w:p>
        </w:tc>
        <w:tc>
          <w:tcPr>
            <w:tcW w:w="419" w:type="pct"/>
            <w:tcBorders>
              <w:top w:val="single" w:color="auto" w:sz="4" w:space="0"/>
              <w:left w:val="single" w:color="auto" w:sz="4" w:space="0"/>
              <w:bottom w:val="single" w:color="auto" w:sz="4" w:space="0"/>
              <w:right w:val="single" w:color="auto" w:sz="4" w:space="0"/>
            </w:tcBorders>
          </w:tcPr>
          <w:p>
            <w:pPr>
              <w:rPr>
                <w:bCs/>
                <w:sz w:val="24"/>
              </w:rPr>
            </w:pPr>
          </w:p>
        </w:tc>
        <w:tc>
          <w:tcPr>
            <w:tcW w:w="1117" w:type="pct"/>
            <w:tcBorders>
              <w:top w:val="single" w:color="auto" w:sz="4" w:space="0"/>
              <w:left w:val="single" w:color="auto" w:sz="4" w:space="0"/>
              <w:bottom w:val="single" w:color="auto" w:sz="4" w:space="0"/>
              <w:right w:val="single" w:color="auto" w:sz="4" w:space="0"/>
            </w:tcBorders>
          </w:tcPr>
          <w:p>
            <w:pPr>
              <w:rPr>
                <w:bCs/>
                <w:sz w:val="24"/>
              </w:rPr>
            </w:pPr>
          </w:p>
        </w:tc>
        <w:tc>
          <w:tcPr>
            <w:tcW w:w="809" w:type="pct"/>
            <w:tcBorders>
              <w:top w:val="single" w:color="auto" w:sz="4" w:space="0"/>
              <w:left w:val="single" w:color="auto" w:sz="4" w:space="0"/>
              <w:bottom w:val="single" w:color="auto" w:sz="4" w:space="0"/>
              <w:right w:val="single" w:color="auto" w:sz="4" w:space="0"/>
            </w:tcBorders>
          </w:tcPr>
          <w:p>
            <w:pPr>
              <w:rPr>
                <w:bCs/>
                <w:sz w:val="24"/>
              </w:rPr>
            </w:pPr>
          </w:p>
        </w:tc>
        <w:tc>
          <w:tcPr>
            <w:tcW w:w="395" w:type="pct"/>
            <w:tcBorders>
              <w:top w:val="single" w:color="auto" w:sz="4" w:space="0"/>
              <w:left w:val="single" w:color="auto" w:sz="4" w:space="0"/>
              <w:bottom w:val="single" w:color="auto" w:sz="4" w:space="0"/>
              <w:right w:val="single" w:color="auto" w:sz="4" w:space="0"/>
            </w:tcBorders>
          </w:tcPr>
          <w:p>
            <w:pPr>
              <w:rPr>
                <w:bCs/>
                <w:sz w:val="24"/>
              </w:rPr>
            </w:pPr>
          </w:p>
        </w:tc>
        <w:tc>
          <w:tcPr>
            <w:tcW w:w="775" w:type="pct"/>
            <w:tcBorders>
              <w:top w:val="single" w:color="auto" w:sz="4" w:space="0"/>
              <w:left w:val="single" w:color="auto" w:sz="4" w:space="0"/>
              <w:bottom w:val="single" w:color="auto" w:sz="4" w:space="0"/>
              <w:right w:val="single" w:color="auto" w:sz="4" w:space="0"/>
            </w:tcBorders>
          </w:tcPr>
          <w:p>
            <w:pPr>
              <w:rPr>
                <w:bCs/>
                <w:sz w:val="24"/>
              </w:rPr>
            </w:pPr>
          </w:p>
        </w:tc>
        <w:tc>
          <w:tcPr>
            <w:tcW w:w="663" w:type="pct"/>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exact"/>
        </w:trPr>
        <w:tc>
          <w:tcPr>
            <w:tcW w:w="424" w:type="pct"/>
            <w:tcBorders>
              <w:top w:val="single" w:color="auto" w:sz="4" w:space="0"/>
              <w:left w:val="single" w:color="auto" w:sz="4" w:space="0"/>
              <w:bottom w:val="single" w:color="auto" w:sz="4" w:space="0"/>
              <w:right w:val="single" w:color="auto" w:sz="4" w:space="0"/>
            </w:tcBorders>
          </w:tcPr>
          <w:p>
            <w:pPr>
              <w:rPr>
                <w:bCs/>
                <w:sz w:val="24"/>
              </w:rPr>
            </w:pPr>
          </w:p>
        </w:tc>
        <w:tc>
          <w:tcPr>
            <w:tcW w:w="398" w:type="pct"/>
            <w:tcBorders>
              <w:top w:val="single" w:color="auto" w:sz="4" w:space="0"/>
              <w:left w:val="single" w:color="auto" w:sz="4" w:space="0"/>
              <w:bottom w:val="single" w:color="auto" w:sz="4" w:space="0"/>
              <w:right w:val="single" w:color="auto" w:sz="4" w:space="0"/>
            </w:tcBorders>
          </w:tcPr>
          <w:p>
            <w:pPr>
              <w:rPr>
                <w:bCs/>
                <w:sz w:val="24"/>
              </w:rPr>
            </w:pPr>
          </w:p>
        </w:tc>
        <w:tc>
          <w:tcPr>
            <w:tcW w:w="419" w:type="pct"/>
            <w:tcBorders>
              <w:top w:val="single" w:color="auto" w:sz="4" w:space="0"/>
              <w:left w:val="single" w:color="auto" w:sz="4" w:space="0"/>
              <w:bottom w:val="single" w:color="auto" w:sz="4" w:space="0"/>
              <w:right w:val="single" w:color="auto" w:sz="4" w:space="0"/>
            </w:tcBorders>
          </w:tcPr>
          <w:p>
            <w:pPr>
              <w:rPr>
                <w:bCs/>
                <w:sz w:val="24"/>
              </w:rPr>
            </w:pPr>
          </w:p>
        </w:tc>
        <w:tc>
          <w:tcPr>
            <w:tcW w:w="1117" w:type="pct"/>
            <w:tcBorders>
              <w:top w:val="single" w:color="auto" w:sz="4" w:space="0"/>
              <w:left w:val="single" w:color="auto" w:sz="4" w:space="0"/>
              <w:bottom w:val="single" w:color="auto" w:sz="4" w:space="0"/>
              <w:right w:val="single" w:color="auto" w:sz="4" w:space="0"/>
            </w:tcBorders>
          </w:tcPr>
          <w:p>
            <w:pPr>
              <w:rPr>
                <w:bCs/>
                <w:sz w:val="24"/>
              </w:rPr>
            </w:pPr>
          </w:p>
        </w:tc>
        <w:tc>
          <w:tcPr>
            <w:tcW w:w="809" w:type="pct"/>
            <w:tcBorders>
              <w:top w:val="single" w:color="auto" w:sz="4" w:space="0"/>
              <w:left w:val="single" w:color="auto" w:sz="4" w:space="0"/>
              <w:bottom w:val="single" w:color="auto" w:sz="4" w:space="0"/>
              <w:right w:val="single" w:color="auto" w:sz="4" w:space="0"/>
            </w:tcBorders>
          </w:tcPr>
          <w:p>
            <w:pPr>
              <w:rPr>
                <w:bCs/>
                <w:sz w:val="24"/>
              </w:rPr>
            </w:pPr>
          </w:p>
        </w:tc>
        <w:tc>
          <w:tcPr>
            <w:tcW w:w="395" w:type="pct"/>
            <w:tcBorders>
              <w:top w:val="single" w:color="auto" w:sz="4" w:space="0"/>
              <w:left w:val="single" w:color="auto" w:sz="4" w:space="0"/>
              <w:bottom w:val="single" w:color="auto" w:sz="4" w:space="0"/>
              <w:right w:val="single" w:color="auto" w:sz="4" w:space="0"/>
            </w:tcBorders>
          </w:tcPr>
          <w:p>
            <w:pPr>
              <w:rPr>
                <w:bCs/>
                <w:sz w:val="24"/>
              </w:rPr>
            </w:pPr>
          </w:p>
        </w:tc>
        <w:tc>
          <w:tcPr>
            <w:tcW w:w="775" w:type="pct"/>
            <w:tcBorders>
              <w:top w:val="single" w:color="auto" w:sz="4" w:space="0"/>
              <w:left w:val="single" w:color="auto" w:sz="4" w:space="0"/>
              <w:bottom w:val="single" w:color="auto" w:sz="4" w:space="0"/>
              <w:right w:val="single" w:color="auto" w:sz="4" w:space="0"/>
            </w:tcBorders>
          </w:tcPr>
          <w:p>
            <w:pPr>
              <w:rPr>
                <w:bCs/>
                <w:sz w:val="24"/>
              </w:rPr>
            </w:pPr>
          </w:p>
        </w:tc>
        <w:tc>
          <w:tcPr>
            <w:tcW w:w="663" w:type="pct"/>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exact"/>
        </w:trPr>
        <w:tc>
          <w:tcPr>
            <w:tcW w:w="424" w:type="pc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合计</w:t>
            </w:r>
          </w:p>
        </w:tc>
        <w:tc>
          <w:tcPr>
            <w:tcW w:w="398"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419"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117"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809"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395"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75"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663"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9" w:hRule="exact"/>
        </w:trPr>
        <w:tc>
          <w:tcPr>
            <w:tcW w:w="1" w:type="pct"/>
            <w:gridSpan w:val="8"/>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宋体" w:hAnsi="宋体"/>
                <w:bCs/>
                <w:sz w:val="24"/>
              </w:rPr>
            </w:pPr>
            <w:r>
              <w:rPr>
                <w:rFonts w:ascii="宋体" w:hAnsi="宋体"/>
                <w:bCs/>
                <w:sz w:val="24"/>
              </w:rPr>
              <w:t>备注：</w:t>
            </w:r>
          </w:p>
          <w:p>
            <w:pPr>
              <w:widowControl/>
              <w:spacing w:line="276" w:lineRule="auto"/>
              <w:ind w:firstLine="480" w:firstLineChars="200"/>
              <w:jc w:val="left"/>
              <w:rPr>
                <w:rFonts w:ascii="宋体" w:hAnsi="宋体" w:cs="宋体"/>
                <w:bCs/>
                <w:sz w:val="24"/>
              </w:rPr>
            </w:pPr>
            <w:r>
              <w:rPr>
                <w:rFonts w:ascii="宋体" w:hAnsi="宋体" w:cs="宋体"/>
                <w:bCs/>
                <w:sz w:val="24"/>
              </w:rPr>
              <w:t>1.同类项目指本次</w:t>
            </w:r>
            <w:r>
              <w:rPr>
                <w:rFonts w:hint="eastAsia" w:ascii="宋体" w:hAnsi="宋体" w:cs="宋体"/>
                <w:bCs/>
                <w:sz w:val="24"/>
              </w:rPr>
              <w:t>谈判</w:t>
            </w:r>
            <w:r>
              <w:rPr>
                <w:rFonts w:ascii="宋体" w:hAnsi="宋体" w:cs="宋体"/>
                <w:bCs/>
                <w:sz w:val="24"/>
              </w:rPr>
              <w:t>的产品或同类产品</w:t>
            </w:r>
            <w:r>
              <w:rPr>
                <w:rFonts w:hint="eastAsia" w:ascii="宋体" w:hAnsi="宋体"/>
                <w:bCs/>
                <w:sz w:val="28"/>
                <w:szCs w:val="28"/>
              </w:rPr>
              <w:t>，</w:t>
            </w:r>
            <w:r>
              <w:rPr>
                <w:rFonts w:ascii="宋体" w:hAnsi="宋体" w:cs="宋体"/>
                <w:bCs/>
                <w:sz w:val="24"/>
              </w:rPr>
              <w:t>具体在评审标准中明确范围。合同有效金额是指合同中本次</w:t>
            </w:r>
            <w:r>
              <w:rPr>
                <w:rFonts w:hint="eastAsia" w:ascii="宋体" w:hAnsi="宋体" w:cs="宋体"/>
                <w:bCs/>
                <w:sz w:val="24"/>
              </w:rPr>
              <w:t>谈判</w:t>
            </w:r>
            <w:r>
              <w:rPr>
                <w:rFonts w:ascii="宋体" w:hAnsi="宋体" w:cs="宋体"/>
                <w:bCs/>
                <w:sz w:val="24"/>
              </w:rPr>
              <w:t>的</w:t>
            </w:r>
            <w:r>
              <w:rPr>
                <w:rFonts w:hint="eastAsia" w:ascii="宋体" w:hAnsi="宋体" w:cs="宋体"/>
                <w:bCs/>
                <w:sz w:val="24"/>
              </w:rPr>
              <w:t>相同</w:t>
            </w:r>
            <w:r>
              <w:rPr>
                <w:rFonts w:ascii="宋体" w:hAnsi="宋体" w:cs="宋体"/>
                <w:bCs/>
                <w:sz w:val="24"/>
              </w:rPr>
              <w:t>产品或同类产品金额。</w:t>
            </w:r>
            <w:r>
              <w:rPr>
                <w:rFonts w:hint="eastAsia" w:ascii="黑体" w:hAnsi="黑体" w:eastAsia="黑体" w:cs="宋体"/>
                <w:sz w:val="24"/>
              </w:rPr>
              <w:t>该表严格按照《商务评审标准表》明确的相关要求填报。</w:t>
            </w:r>
          </w:p>
          <w:p>
            <w:pPr>
              <w:widowControl/>
              <w:spacing w:line="276" w:lineRule="auto"/>
              <w:ind w:firstLine="480" w:firstLineChars="200"/>
              <w:jc w:val="left"/>
              <w:rPr>
                <w:rFonts w:ascii="宋体" w:hAnsi="宋体" w:cs="宋体"/>
                <w:bCs/>
                <w:sz w:val="24"/>
              </w:rPr>
            </w:pPr>
            <w:r>
              <w:rPr>
                <w:rFonts w:ascii="宋体" w:hAnsi="宋体" w:cs="宋体"/>
                <w:bCs/>
                <w:sz w:val="24"/>
              </w:rPr>
              <w:t>2.</w:t>
            </w:r>
            <w:r>
              <w:rPr>
                <w:rFonts w:hint="eastAsia"/>
                <w:bCs/>
                <w:sz w:val="24"/>
              </w:rPr>
              <w:t>项目内容包括同类项目，产品名称、型号等。</w:t>
            </w:r>
          </w:p>
          <w:p>
            <w:pPr>
              <w:widowControl/>
              <w:spacing w:line="276" w:lineRule="auto"/>
              <w:ind w:firstLine="480" w:firstLineChars="200"/>
              <w:jc w:val="left"/>
              <w:rPr>
                <w:rFonts w:ascii="宋体" w:hAnsi="宋体" w:cs="宋体"/>
                <w:bCs/>
                <w:sz w:val="24"/>
              </w:rPr>
            </w:pPr>
            <w:r>
              <w:rPr>
                <w:rFonts w:ascii="宋体" w:hAnsi="宋体" w:cs="宋体"/>
                <w:bCs/>
                <w:sz w:val="24"/>
              </w:rPr>
              <w:t>3.“页码”栏中填写</w:t>
            </w:r>
            <w:r>
              <w:rPr>
                <w:rFonts w:hint="eastAsia" w:ascii="宋体" w:hAnsi="宋体" w:cs="宋体"/>
                <w:bCs/>
                <w:sz w:val="24"/>
              </w:rPr>
              <w:t>业绩材料</w:t>
            </w:r>
            <w:r>
              <w:rPr>
                <w:rFonts w:ascii="宋体" w:hAnsi="宋体" w:cs="宋体"/>
                <w:bCs/>
                <w:sz w:val="24"/>
              </w:rPr>
              <w:t>所在“商务技术文件”中的页码位置。</w:t>
            </w:r>
          </w:p>
          <w:p>
            <w:pPr>
              <w:widowControl/>
              <w:spacing w:line="276" w:lineRule="auto"/>
              <w:ind w:firstLine="480" w:firstLineChars="200"/>
              <w:jc w:val="left"/>
              <w:rPr>
                <w:rFonts w:ascii="宋体" w:hAnsi="宋体" w:cs="宋体"/>
                <w:bCs/>
                <w:sz w:val="24"/>
              </w:rPr>
            </w:pPr>
            <w:r>
              <w:rPr>
                <w:rFonts w:ascii="宋体" w:hAnsi="宋体" w:cs="宋体"/>
                <w:bCs/>
                <w:sz w:val="24"/>
              </w:rPr>
              <w:t>4.</w:t>
            </w:r>
            <w:r>
              <w:rPr>
                <w:rFonts w:hint="eastAsia" w:ascii="宋体" w:hAnsi="宋体" w:cs="宋体"/>
                <w:bCs/>
                <w:sz w:val="24"/>
              </w:rPr>
              <w:t>合同缔约方存在控股或管理关系的，该合同无效。</w:t>
            </w:r>
          </w:p>
          <w:p>
            <w:pPr>
              <w:widowControl/>
              <w:spacing w:line="276" w:lineRule="auto"/>
              <w:ind w:firstLine="480" w:firstLineChars="200"/>
              <w:jc w:val="left"/>
              <w:rPr>
                <w:rFonts w:ascii="宋体" w:hAnsi="宋体" w:cs="宋体"/>
                <w:bCs/>
                <w:sz w:val="24"/>
              </w:rPr>
            </w:pPr>
            <w:r>
              <w:rPr>
                <w:rFonts w:ascii="宋体" w:hAnsi="宋体" w:cs="宋体"/>
                <w:bCs/>
                <w:sz w:val="24"/>
              </w:rPr>
              <w:t>5.</w:t>
            </w:r>
            <w:r>
              <w:rPr>
                <w:rFonts w:hint="eastAsia" w:ascii="宋体" w:hAnsi="宋体" w:cs="宋体"/>
                <w:bCs/>
                <w:sz w:val="24"/>
              </w:rPr>
              <w:t>报价</w:t>
            </w:r>
            <w:r>
              <w:rPr>
                <w:rFonts w:ascii="宋体" w:hAnsi="宋体" w:cs="宋体"/>
                <w:bCs/>
                <w:sz w:val="24"/>
              </w:rPr>
              <w:t>供应商提供虚假合同的，按虚假</w:t>
            </w:r>
            <w:r>
              <w:rPr>
                <w:rFonts w:hint="eastAsia" w:ascii="宋体" w:hAnsi="宋体" w:cs="宋体"/>
                <w:bCs/>
                <w:sz w:val="24"/>
              </w:rPr>
              <w:t>报价</w:t>
            </w:r>
            <w:r>
              <w:rPr>
                <w:rFonts w:ascii="宋体" w:hAnsi="宋体" w:cs="宋体"/>
                <w:bCs/>
                <w:sz w:val="24"/>
              </w:rPr>
              <w:t>处理。</w:t>
            </w:r>
          </w:p>
          <w:p>
            <w:pPr>
              <w:widowControl/>
              <w:spacing w:line="276" w:lineRule="auto"/>
              <w:ind w:firstLine="480" w:firstLineChars="200"/>
              <w:jc w:val="left"/>
              <w:rPr>
                <w:rFonts w:ascii="宋体" w:hAnsi="宋体"/>
                <w:bCs/>
                <w:sz w:val="24"/>
              </w:rPr>
            </w:pPr>
            <w:r>
              <w:rPr>
                <w:rFonts w:ascii="宋体" w:hAnsi="宋体" w:cs="宋体"/>
                <w:bCs/>
                <w:sz w:val="24"/>
              </w:rPr>
              <w:t>6</w:t>
            </w:r>
            <w:r>
              <w:rPr>
                <w:rFonts w:hint="eastAsia" w:ascii="宋体" w:hAnsi="宋体" w:cs="宋体"/>
                <w:bCs/>
                <w:sz w:val="24"/>
              </w:rPr>
              <w:t>.合同中涉及</w:t>
            </w:r>
            <w:r>
              <w:rPr>
                <w:rFonts w:ascii="宋体" w:hAnsi="宋体" w:cs="宋体"/>
                <w:bCs/>
                <w:sz w:val="24"/>
              </w:rPr>
              <w:t>总价、单价</w:t>
            </w:r>
            <w:r>
              <w:rPr>
                <w:rFonts w:hint="eastAsia" w:ascii="宋体" w:hAnsi="宋体" w:cs="宋体"/>
                <w:bCs/>
                <w:sz w:val="24"/>
              </w:rPr>
              <w:t>、</w:t>
            </w:r>
            <w:r>
              <w:rPr>
                <w:rFonts w:ascii="宋体" w:hAnsi="宋体" w:cs="宋体"/>
                <w:bCs/>
                <w:sz w:val="24"/>
              </w:rPr>
              <w:t>规格、</w:t>
            </w:r>
            <w:r>
              <w:rPr>
                <w:rFonts w:hint="eastAsia" w:ascii="宋体" w:hAnsi="宋体" w:cs="宋体"/>
                <w:bCs/>
                <w:sz w:val="24"/>
              </w:rPr>
              <w:t>缔约方</w:t>
            </w:r>
            <w:r>
              <w:rPr>
                <w:rFonts w:ascii="宋体" w:hAnsi="宋体" w:cs="宋体"/>
                <w:bCs/>
                <w:sz w:val="24"/>
              </w:rPr>
              <w:t>签字盖章</w:t>
            </w:r>
            <w:r>
              <w:rPr>
                <w:rFonts w:hint="eastAsia" w:ascii="宋体" w:hAnsi="宋体" w:cs="宋体"/>
                <w:bCs/>
                <w:sz w:val="24"/>
              </w:rPr>
              <w:t>等</w:t>
            </w:r>
            <w:r>
              <w:rPr>
                <w:rFonts w:ascii="宋体" w:hAnsi="宋体" w:cs="宋体"/>
                <w:bCs/>
                <w:sz w:val="24"/>
              </w:rPr>
              <w:t>关键</w:t>
            </w:r>
            <w:r>
              <w:rPr>
                <w:rFonts w:hint="eastAsia" w:ascii="宋体" w:hAnsi="宋体" w:cs="宋体"/>
                <w:bCs/>
                <w:sz w:val="24"/>
              </w:rPr>
              <w:t>信息</w:t>
            </w:r>
            <w:r>
              <w:rPr>
                <w:rFonts w:hint="eastAsia"/>
                <w:sz w:val="24"/>
              </w:rPr>
              <w:t>应当</w:t>
            </w:r>
            <w:r>
              <w:rPr>
                <w:rFonts w:ascii="宋体" w:hAnsi="宋体" w:cs="宋体"/>
                <w:bCs/>
                <w:sz w:val="24"/>
              </w:rPr>
              <w:t>清晰可</w:t>
            </w:r>
            <w:r>
              <w:rPr>
                <w:rFonts w:hint="eastAsia" w:ascii="宋体" w:hAnsi="宋体" w:cs="宋体"/>
                <w:bCs/>
                <w:sz w:val="24"/>
              </w:rPr>
              <w:t>辨</w:t>
            </w:r>
            <w:r>
              <w:rPr>
                <w:rFonts w:ascii="宋体" w:hAnsi="宋体" w:cs="宋体"/>
                <w:bCs/>
                <w:sz w:val="24"/>
              </w:rPr>
              <w:t>，否则视为无效合同</w:t>
            </w:r>
            <w:r>
              <w:rPr>
                <w:rFonts w:hint="eastAsia" w:ascii="宋体" w:hAnsi="宋体" w:cs="宋体"/>
                <w:bCs/>
                <w:sz w:val="24"/>
              </w:rPr>
              <w:t>。</w:t>
            </w:r>
          </w:p>
          <w:p>
            <w:pPr>
              <w:jc w:val="center"/>
              <w:rPr>
                <w:bCs/>
                <w:sz w:val="24"/>
              </w:rPr>
            </w:pPr>
          </w:p>
        </w:tc>
      </w:tr>
    </w:tbl>
    <w:p>
      <w:pPr>
        <w:jc w:val="center"/>
        <w:rPr>
          <w:bCs/>
          <w:sz w:val="28"/>
          <w:szCs w:val="28"/>
          <w:lang w:val="zh-CN"/>
        </w:rPr>
      </w:pPr>
    </w:p>
    <w:p>
      <w:pPr>
        <w:spacing w:line="560" w:lineRule="exact"/>
        <w:jc w:val="center"/>
        <w:rPr>
          <w:bCs/>
          <w:sz w:val="28"/>
          <w:szCs w:val="28"/>
          <w:lang w:val="zh-CN"/>
        </w:rPr>
      </w:pPr>
    </w:p>
    <w:p>
      <w:pPr>
        <w:spacing w:line="560" w:lineRule="exact"/>
        <w:ind w:firstLine="560" w:firstLineChars="200"/>
        <w:jc w:val="center"/>
        <w:rPr>
          <w:rFonts w:eastAsia="黑体"/>
          <w:bCs/>
          <w:sz w:val="28"/>
          <w:szCs w:val="28"/>
        </w:rPr>
      </w:pPr>
      <w:r>
        <w:rPr>
          <w:bCs/>
          <w:sz w:val="28"/>
          <w:szCs w:val="28"/>
          <w:lang w:val="zh-CN"/>
        </w:rPr>
        <w:t xml:space="preserve">    </w:t>
      </w:r>
    </w:p>
    <w:bookmarkEnd w:id="503"/>
    <w:bookmarkEnd w:id="504"/>
    <w:bookmarkEnd w:id="505"/>
    <w:bookmarkEnd w:id="506"/>
    <w:bookmarkEnd w:id="507"/>
    <w:bookmarkEnd w:id="508"/>
    <w:p>
      <w:pPr>
        <w:widowControl/>
        <w:jc w:val="left"/>
        <w:rPr>
          <w:rFonts w:ascii="Arial" w:hAnsi="Arial" w:eastAsia="黑体"/>
          <w:bCs/>
          <w:sz w:val="28"/>
          <w:szCs w:val="28"/>
        </w:rPr>
      </w:pPr>
      <w:r>
        <w:rPr>
          <w:b/>
        </w:rPr>
        <w:br w:type="page"/>
      </w:r>
    </w:p>
    <w:p>
      <w:pPr>
        <w:pStyle w:val="6"/>
        <w:spacing w:before="120" w:beforeLines="50" w:after="120" w:afterLines="50" w:line="560" w:lineRule="exact"/>
        <w:rPr>
          <w:b w:val="0"/>
          <w:snapToGrid w:val="0"/>
          <w:lang w:val="zh-CN"/>
        </w:rPr>
      </w:pPr>
      <w:r>
        <w:rPr>
          <w:rFonts w:hint="eastAsia"/>
          <w:b w:val="0"/>
        </w:rPr>
        <w:t>附件</w:t>
      </w:r>
      <w:r>
        <w:rPr>
          <w:b w:val="0"/>
        </w:rPr>
        <w:t>2-1</w:t>
      </w:r>
      <w:r>
        <w:rPr>
          <w:rFonts w:hint="eastAsia"/>
          <w:b w:val="0"/>
          <w:lang w:val="en-US" w:eastAsia="zh-CN"/>
        </w:rPr>
        <w:t>6</w:t>
      </w:r>
      <w:r>
        <w:rPr>
          <w:b w:val="0"/>
        </w:rPr>
        <w:t xml:space="preserve"> </w:t>
      </w:r>
      <w:r>
        <w:rPr>
          <w:rFonts w:hint="eastAsia"/>
          <w:b w:val="0"/>
        </w:rPr>
        <w:t>财务社保数据统计表</w:t>
      </w:r>
    </w:p>
    <w:tbl>
      <w:tblPr>
        <w:tblStyle w:val="44"/>
        <w:tblW w:w="9373" w:type="dxa"/>
        <w:tblInd w:w="0" w:type="dxa"/>
        <w:tblLayout w:type="fixed"/>
        <w:tblCellMar>
          <w:top w:w="0" w:type="dxa"/>
          <w:left w:w="0" w:type="dxa"/>
          <w:bottom w:w="0" w:type="dxa"/>
          <w:right w:w="0" w:type="dxa"/>
        </w:tblCellMar>
      </w:tblPr>
      <w:tblGrid>
        <w:gridCol w:w="2797"/>
        <w:gridCol w:w="1048"/>
        <w:gridCol w:w="1275"/>
        <w:gridCol w:w="1276"/>
        <w:gridCol w:w="1276"/>
        <w:gridCol w:w="1701"/>
      </w:tblGrid>
      <w:tr>
        <w:tblPrEx>
          <w:tblCellMar>
            <w:top w:w="0" w:type="dxa"/>
            <w:left w:w="0" w:type="dxa"/>
            <w:bottom w:w="0" w:type="dxa"/>
            <w:right w:w="0" w:type="dxa"/>
          </w:tblCellMar>
        </w:tblPrEx>
        <w:trPr>
          <w:trHeight w:val="889" w:hRule="atLeast"/>
        </w:trPr>
        <w:tc>
          <w:tcPr>
            <w:tcW w:w="9373" w:type="dxa"/>
            <w:gridSpan w:val="6"/>
            <w:tcBorders>
              <w:top w:val="nil"/>
              <w:left w:val="nil"/>
              <w:bottom w:val="nil"/>
              <w:right w:val="nil"/>
            </w:tcBorders>
            <w:tcMar>
              <w:top w:w="17" w:type="dxa"/>
              <w:left w:w="17" w:type="dxa"/>
              <w:bottom w:w="0" w:type="dxa"/>
              <w:right w:w="17" w:type="dxa"/>
            </w:tcMar>
            <w:vAlign w:val="center"/>
          </w:tcPr>
          <w:p>
            <w:pPr>
              <w:spacing w:line="360" w:lineRule="auto"/>
              <w:jc w:val="center"/>
              <w:rPr>
                <w:rFonts w:ascii="华文中宋" w:hAnsi="华文中宋" w:eastAsia="华文中宋" w:cs="宋体"/>
                <w:bCs/>
                <w:sz w:val="40"/>
                <w:szCs w:val="40"/>
              </w:rPr>
            </w:pPr>
            <w:r>
              <w:rPr>
                <w:rFonts w:hint="eastAsia" w:ascii="黑体" w:hAnsi="黑体" w:eastAsia="黑体" w:cs="黑体"/>
                <w:bCs/>
                <w:sz w:val="36"/>
                <w:szCs w:val="36"/>
              </w:rPr>
              <w:t>财务社保数据统计表</w:t>
            </w:r>
          </w:p>
        </w:tc>
      </w:tr>
      <w:tr>
        <w:tblPrEx>
          <w:tblCellMar>
            <w:top w:w="0" w:type="dxa"/>
            <w:left w:w="0" w:type="dxa"/>
            <w:bottom w:w="0" w:type="dxa"/>
            <w:right w:w="0" w:type="dxa"/>
          </w:tblCellMar>
        </w:tblPrEx>
        <w:trPr>
          <w:trHeight w:val="855" w:hRule="atLeast"/>
        </w:trPr>
        <w:tc>
          <w:tcPr>
            <w:tcW w:w="279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rPr>
                <w:rFonts w:ascii="宋体" w:hAnsi="宋体" w:cs="宋体"/>
                <w:bCs/>
                <w:sz w:val="24"/>
              </w:rPr>
            </w:pPr>
            <w:r>
              <w:rPr>
                <w:rFonts w:hint="eastAsia" w:ascii="宋体" w:hAnsi="宋体" w:cs="宋体"/>
                <w:bCs/>
                <w:sz w:val="24"/>
              </w:rPr>
              <mc:AlternateContent>
                <mc:Choice Requires="wps">
                  <w:drawing>
                    <wp:anchor distT="0" distB="0" distL="114300" distR="114300" simplePos="0" relativeHeight="251666432" behindDoc="0" locked="0" layoutInCell="1" allowOverlap="1">
                      <wp:simplePos x="0" y="0"/>
                      <wp:positionH relativeFrom="column">
                        <wp:posOffset>6350</wp:posOffset>
                      </wp:positionH>
                      <wp:positionV relativeFrom="paragraph">
                        <wp:posOffset>-12065</wp:posOffset>
                      </wp:positionV>
                      <wp:extent cx="1737995" cy="554355"/>
                      <wp:effectExtent l="1270" t="4445" r="13335" b="5080"/>
                      <wp:wrapNone/>
                      <wp:docPr id="6" name="直接箭头连接符 6"/>
                      <wp:cNvGraphicFramePr/>
                      <a:graphic xmlns:a="http://schemas.openxmlformats.org/drawingml/2006/main">
                        <a:graphicData uri="http://schemas.microsoft.com/office/word/2010/wordprocessingShape">
                          <wps:wsp>
                            <wps:cNvCnPr>
                              <a:cxnSpLocks noChangeShapeType="1"/>
                            </wps:cNvCnPr>
                            <wps:spPr bwMode="auto">
                              <a:xfrm>
                                <a:off x="0" y="0"/>
                                <a:ext cx="1737995" cy="55435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0.5pt;margin-top:-0.95pt;height:43.65pt;width:136.85pt;z-index:251666432;mso-width-relative:page;mso-height-relative:page;" filled="f" stroked="t" coordsize="21600,21600" o:gfxdata="UEsDBAoAAAAAAIdO4kAAAAAAAAAAAAAAAAAEAAAAZHJzL1BLAwQUAAAACACHTuJA7Df6T9YAAAAH&#10;AQAADwAAAGRycy9kb3ducmV2LnhtbE2PwW7CMBBE75X6D9ZW4lKBnQgKpHFQVYkDxwJSrybeJmnj&#10;dRQ7BPj6bk/lOJrRzJt8c3GtOGMfGk8akpkCgVR621Cl4XjYTlcgQjRkTesJNVwxwKZ4fMhNZv1I&#10;H3jex0pwCYXMaKhj7DIpQ1mjM2HmOyT2vnzvTGTZV9L2ZuRy18pUqRfpTEO8UJsO32ssf/aD04Bh&#10;WCTqbe2q4+42Pn+mt++xO2g9eUrUK4iIl/gfhj98RoeCmU5+IBtEy5qfRA3TZA2C7XQ5X4I4aVgt&#10;5iCLXN7zF79QSwMEFAAAAAgAh07iQALQqgv7AQAAwwMAAA4AAABkcnMvZTJvRG9jLnhtbK1TzW4T&#10;MRC+I/EOlu9kk5RNySqbHhKVS4FIbR/A8Xp3LWyPZTvZ5CV4ASROwKlw6p2nKeUxGDs/0HLpgT1Y&#10;tsffN/N9Mzs522hF1sJ5Caakg16fEmE4VNI0Jb2+On/xihIfmKmYAiNKuhWenk2fP5t0thBDaEFV&#10;whEkMb7obEnbEGyRZZ63QjPfAysMBmtwmgU8uiarHOuQXats2O+Psg5cZR1w4T3ezndBumd0TyGE&#10;upZczIGvtDBhx+qEYgEl+VZaT6ep2roWPLyray8CUSVFpSGtmAT3y7hm0wkrGsdsK/m+BPaUEh5p&#10;0kwaTHqkmrPAyMrJf6i05A481KHHQWc7IckRVDHoP/LmsmVWJC1otbdH0/3/o+Vv1wtHZFXSESWG&#10;aWz4/cfbnx++3H//dvf59tePT3F/85WMolWd9QUiZmbholi+MZf2Avh7TwzMWmYakUq+2lrkGURE&#10;9gASD95iwmX3Bip8w1YBkm+b2ulIiY6QTWrP9tgesQmE4+Xg9OR0PM4p4RjL85cneZ5SsOKAts6H&#10;1wI0iZuS+uCYbNowA2NwEsANUi62vvAh1saKAyCmNnAulUoDoQzpSjrOh3kCeFCyisH4zLtmOVOO&#10;rFkcqfTtq3jwzMHKVLskyux9iNJ3Ji6h2i7cwR/sbapmP4dxeP4+J/Sff2/6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w3+k/WAAAABwEAAA8AAAAAAAAAAQAgAAAAIgAAAGRycy9kb3ducmV2Lnht&#10;bFBLAQIUABQAAAAIAIdO4kAC0KoL+wEAAMMDAAAOAAAAAAAAAAEAIAAAACUBAABkcnMvZTJvRG9j&#10;LnhtbFBLBQYAAAAABgAGAFkBAACSBQAAAAA=&#10;">
                      <v:fill on="f" focussize="0,0"/>
                      <v:stroke color="#000000" joinstyle="round"/>
                      <v:imagedata o:title=""/>
                      <o:lock v:ext="edit" aspectratio="f"/>
                    </v:shape>
                  </w:pict>
                </mc:Fallback>
              </mc:AlternateContent>
            </w:r>
            <w:r>
              <w:rPr>
                <w:rFonts w:hint="eastAsia" w:ascii="宋体" w:hAnsi="宋体" w:cs="宋体"/>
                <w:bCs/>
                <w:sz w:val="24"/>
              </w:rPr>
              <w:t xml:space="preserve">                </w:t>
            </w:r>
            <w:r>
              <w:rPr>
                <w:rFonts w:ascii="宋体" w:hAnsi="宋体" w:cs="宋体"/>
                <w:bCs/>
                <w:sz w:val="24"/>
              </w:rPr>
              <w:t xml:space="preserve"> </w:t>
            </w:r>
            <w:r>
              <w:rPr>
                <w:rFonts w:hint="eastAsia" w:ascii="宋体" w:hAnsi="宋体" w:cs="宋体"/>
                <w:bCs/>
                <w:sz w:val="24"/>
              </w:rPr>
              <w:t>年 度</w:t>
            </w:r>
            <w:r>
              <w:rPr>
                <w:rFonts w:hint="eastAsia" w:ascii="宋体" w:hAnsi="宋体" w:cs="宋体"/>
                <w:bCs/>
                <w:sz w:val="24"/>
              </w:rPr>
              <w:br w:type="textWrapping"/>
            </w:r>
            <w:r>
              <w:rPr>
                <w:rFonts w:hint="eastAsia" w:ascii="宋体" w:hAnsi="宋体" w:cs="宋体"/>
                <w:bCs/>
                <w:sz w:val="24"/>
              </w:rPr>
              <w:t>数据项目</w:t>
            </w:r>
          </w:p>
        </w:tc>
        <w:tc>
          <w:tcPr>
            <w:tcW w:w="1048"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rFonts w:ascii="宋体" w:hAnsi="宋体" w:cs="宋体"/>
                <w:bCs/>
                <w:sz w:val="24"/>
              </w:rPr>
            </w:pPr>
            <w:r>
              <w:rPr>
                <w:rFonts w:hint="eastAsia" w:ascii="宋体" w:hAnsi="宋体" w:cs="宋体"/>
                <w:bCs/>
                <w:sz w:val="24"/>
                <w:u w:val="single"/>
              </w:rPr>
              <w:t xml:space="preserve">    </w:t>
            </w:r>
            <w:r>
              <w:rPr>
                <w:rFonts w:hint="eastAsia" w:ascii="宋体" w:hAnsi="宋体" w:cs="宋体"/>
                <w:bCs/>
                <w:sz w:val="24"/>
              </w:rPr>
              <w:t>年度</w:t>
            </w:r>
          </w:p>
        </w:tc>
        <w:tc>
          <w:tcPr>
            <w:tcW w:w="1275"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rFonts w:ascii="宋体" w:hAnsi="宋体" w:cs="宋体"/>
                <w:bCs/>
                <w:sz w:val="24"/>
              </w:rPr>
            </w:pPr>
            <w:r>
              <w:rPr>
                <w:rFonts w:hint="eastAsia" w:ascii="宋体" w:hAnsi="宋体" w:cs="宋体"/>
                <w:bCs/>
                <w:sz w:val="24"/>
                <w:u w:val="single"/>
              </w:rPr>
              <w:t xml:space="preserve">    </w:t>
            </w:r>
            <w:r>
              <w:rPr>
                <w:rFonts w:hint="eastAsia" w:ascii="宋体" w:hAnsi="宋体" w:cs="宋体"/>
                <w:bCs/>
                <w:sz w:val="24"/>
              </w:rPr>
              <w:t>年度</w:t>
            </w:r>
          </w:p>
        </w:tc>
        <w:tc>
          <w:tcPr>
            <w:tcW w:w="1276"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rFonts w:ascii="宋体" w:hAnsi="宋体" w:cs="宋体"/>
                <w:bCs/>
                <w:sz w:val="24"/>
              </w:rPr>
            </w:pPr>
            <w:r>
              <w:rPr>
                <w:rFonts w:hint="eastAsia" w:ascii="宋体" w:hAnsi="宋体" w:cs="宋体"/>
                <w:bCs/>
                <w:sz w:val="24"/>
                <w:u w:val="single"/>
              </w:rPr>
              <w:t xml:space="preserve">    </w:t>
            </w:r>
            <w:r>
              <w:rPr>
                <w:rFonts w:hint="eastAsia" w:ascii="宋体" w:hAnsi="宋体" w:cs="宋体"/>
                <w:bCs/>
                <w:sz w:val="24"/>
              </w:rPr>
              <w:t>年度</w:t>
            </w:r>
          </w:p>
        </w:tc>
        <w:tc>
          <w:tcPr>
            <w:tcW w:w="1276"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rFonts w:ascii="宋体" w:hAnsi="宋体" w:cs="宋体"/>
                <w:bCs/>
                <w:sz w:val="24"/>
              </w:rPr>
            </w:pPr>
            <w:r>
              <w:rPr>
                <w:rFonts w:hint="eastAsia" w:ascii="宋体" w:hAnsi="宋体" w:cs="宋体"/>
                <w:bCs/>
                <w:sz w:val="24"/>
              </w:rPr>
              <w:t>3年平均数</w:t>
            </w:r>
          </w:p>
        </w:tc>
        <w:tc>
          <w:tcPr>
            <w:tcW w:w="1701"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rFonts w:ascii="宋体" w:hAnsi="宋体" w:cs="宋体"/>
                <w:bCs/>
                <w:sz w:val="24"/>
              </w:rPr>
            </w:pPr>
            <w:r>
              <w:rPr>
                <w:rFonts w:hint="eastAsia" w:ascii="宋体" w:hAnsi="宋体" w:cs="宋体"/>
                <w:bCs/>
                <w:sz w:val="24"/>
              </w:rPr>
              <w:t>文件名称</w:t>
            </w:r>
          </w:p>
          <w:p>
            <w:pPr>
              <w:jc w:val="center"/>
              <w:rPr>
                <w:rFonts w:ascii="宋体" w:hAnsi="宋体" w:cs="宋体"/>
                <w:bCs/>
                <w:sz w:val="24"/>
              </w:rPr>
            </w:pPr>
            <w:r>
              <w:rPr>
                <w:rFonts w:hint="eastAsia" w:ascii="宋体" w:hAnsi="宋体" w:cs="宋体"/>
                <w:bCs/>
                <w:sz w:val="24"/>
              </w:rPr>
              <w:t>∕页码</w:t>
            </w:r>
          </w:p>
        </w:tc>
      </w:tr>
      <w:tr>
        <w:tblPrEx>
          <w:tblCellMar>
            <w:top w:w="0" w:type="dxa"/>
            <w:left w:w="0" w:type="dxa"/>
            <w:bottom w:w="0" w:type="dxa"/>
            <w:right w:w="0" w:type="dxa"/>
          </w:tblCellMar>
        </w:tblPrEx>
        <w:trPr>
          <w:trHeight w:val="549" w:hRule="atLeast"/>
        </w:trPr>
        <w:tc>
          <w:tcPr>
            <w:tcW w:w="279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宋体" w:hAnsi="宋体" w:cs="宋体"/>
                <w:bCs/>
                <w:sz w:val="24"/>
              </w:rPr>
            </w:pPr>
            <w:r>
              <w:rPr>
                <w:rFonts w:hint="eastAsia"/>
                <w:bCs/>
                <w:sz w:val="24"/>
              </w:rPr>
              <w:t>资产总额（万元）</w:t>
            </w:r>
          </w:p>
        </w:tc>
        <w:tc>
          <w:tcPr>
            <w:tcW w:w="1048"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275"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r>
      <w:tr>
        <w:tblPrEx>
          <w:tblCellMar>
            <w:top w:w="0" w:type="dxa"/>
            <w:left w:w="0" w:type="dxa"/>
            <w:bottom w:w="0" w:type="dxa"/>
            <w:right w:w="0" w:type="dxa"/>
          </w:tblCellMar>
        </w:tblPrEx>
        <w:trPr>
          <w:trHeight w:val="543" w:hRule="atLeast"/>
        </w:trPr>
        <w:tc>
          <w:tcPr>
            <w:tcW w:w="279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宋体" w:hAnsi="宋体" w:cs="宋体"/>
                <w:bCs/>
                <w:sz w:val="24"/>
              </w:rPr>
            </w:pPr>
            <w:r>
              <w:rPr>
                <w:rFonts w:hint="eastAsia"/>
                <w:bCs/>
                <w:sz w:val="24"/>
              </w:rPr>
              <w:t>净资产（万元）</w:t>
            </w:r>
          </w:p>
        </w:tc>
        <w:tc>
          <w:tcPr>
            <w:tcW w:w="1048"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275"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r>
      <w:tr>
        <w:tblPrEx>
          <w:tblCellMar>
            <w:top w:w="0" w:type="dxa"/>
            <w:left w:w="0" w:type="dxa"/>
            <w:bottom w:w="0" w:type="dxa"/>
            <w:right w:w="0" w:type="dxa"/>
          </w:tblCellMar>
        </w:tblPrEx>
        <w:trPr>
          <w:trHeight w:val="551" w:hRule="atLeast"/>
        </w:trPr>
        <w:tc>
          <w:tcPr>
            <w:tcW w:w="279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宋体" w:hAnsi="宋体" w:cs="宋体"/>
                <w:bCs/>
                <w:sz w:val="24"/>
              </w:rPr>
            </w:pPr>
            <w:r>
              <w:rPr>
                <w:rFonts w:hint="eastAsia"/>
                <w:bCs/>
                <w:sz w:val="24"/>
              </w:rPr>
              <w:t>净利润（万元）</w:t>
            </w:r>
          </w:p>
        </w:tc>
        <w:tc>
          <w:tcPr>
            <w:tcW w:w="1048"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275"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r>
      <w:tr>
        <w:tblPrEx>
          <w:tblCellMar>
            <w:top w:w="0" w:type="dxa"/>
            <w:left w:w="0" w:type="dxa"/>
            <w:bottom w:w="0" w:type="dxa"/>
            <w:right w:w="0" w:type="dxa"/>
          </w:tblCellMar>
        </w:tblPrEx>
        <w:trPr>
          <w:trHeight w:val="559" w:hRule="atLeast"/>
        </w:trPr>
        <w:tc>
          <w:tcPr>
            <w:tcW w:w="279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宋体" w:hAnsi="宋体" w:cs="宋体"/>
                <w:bCs/>
                <w:sz w:val="24"/>
              </w:rPr>
            </w:pPr>
            <w:r>
              <w:rPr>
                <w:rFonts w:hint="eastAsia"/>
                <w:bCs/>
                <w:sz w:val="24"/>
              </w:rPr>
              <w:t>主营业务收入（万元）</w:t>
            </w:r>
          </w:p>
        </w:tc>
        <w:tc>
          <w:tcPr>
            <w:tcW w:w="1048"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275"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r>
      <w:tr>
        <w:tblPrEx>
          <w:tblCellMar>
            <w:top w:w="0" w:type="dxa"/>
            <w:left w:w="0" w:type="dxa"/>
            <w:bottom w:w="0" w:type="dxa"/>
            <w:right w:w="0" w:type="dxa"/>
          </w:tblCellMar>
        </w:tblPrEx>
        <w:trPr>
          <w:trHeight w:val="539" w:hRule="atLeast"/>
        </w:trPr>
        <w:tc>
          <w:tcPr>
            <w:tcW w:w="279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宋体" w:hAnsi="宋体" w:cs="宋体"/>
                <w:bCs/>
                <w:sz w:val="24"/>
              </w:rPr>
            </w:pPr>
            <w:r>
              <w:rPr>
                <w:rFonts w:hint="eastAsia"/>
                <w:bCs/>
                <w:sz w:val="24"/>
              </w:rPr>
              <w:t>资产负债率</w:t>
            </w:r>
          </w:p>
        </w:tc>
        <w:tc>
          <w:tcPr>
            <w:tcW w:w="1048"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275"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r>
      <w:tr>
        <w:tblPrEx>
          <w:tblCellMar>
            <w:top w:w="0" w:type="dxa"/>
            <w:left w:w="0" w:type="dxa"/>
            <w:bottom w:w="0" w:type="dxa"/>
            <w:right w:w="0" w:type="dxa"/>
          </w:tblCellMar>
        </w:tblPrEx>
        <w:trPr>
          <w:trHeight w:val="696" w:hRule="atLeast"/>
        </w:trPr>
        <w:tc>
          <w:tcPr>
            <w:tcW w:w="279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bCs/>
                <w:sz w:val="24"/>
              </w:rPr>
            </w:pPr>
            <w:r>
              <w:rPr>
                <w:bCs/>
                <w:sz w:val="24"/>
                <w:u w:val="single"/>
              </w:rPr>
              <w:t xml:space="preserve">     </w:t>
            </w:r>
            <w:r>
              <w:rPr>
                <w:rFonts w:hint="eastAsia"/>
                <w:bCs/>
                <w:sz w:val="24"/>
              </w:rPr>
              <w:t>年度纳税总金额</w:t>
            </w:r>
          </w:p>
          <w:p>
            <w:pPr>
              <w:ind w:firstLine="468"/>
              <w:jc w:val="center"/>
              <w:rPr>
                <w:rFonts w:ascii="宋体" w:hAnsi="宋体" w:cs="宋体"/>
                <w:bCs/>
                <w:sz w:val="24"/>
              </w:rPr>
            </w:pPr>
            <w:r>
              <w:rPr>
                <w:rFonts w:hint="eastAsia"/>
                <w:bCs/>
                <w:sz w:val="24"/>
              </w:rPr>
              <w:t>（万元）</w:t>
            </w:r>
          </w:p>
        </w:tc>
        <w:tc>
          <w:tcPr>
            <w:tcW w:w="4875" w:type="dxa"/>
            <w:gridSpan w:val="4"/>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bCs/>
                <w:sz w:val="24"/>
              </w:rPr>
            </w:pPr>
            <w:r>
              <w:rPr>
                <w:rFonts w:hint="eastAsia"/>
                <w:bCs/>
                <w:sz w:val="24"/>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r>
      <w:tr>
        <w:tblPrEx>
          <w:tblCellMar>
            <w:top w:w="0" w:type="dxa"/>
            <w:left w:w="0" w:type="dxa"/>
            <w:bottom w:w="0" w:type="dxa"/>
            <w:right w:w="0" w:type="dxa"/>
          </w:tblCellMar>
        </w:tblPrEx>
        <w:trPr>
          <w:trHeight w:val="963" w:hRule="atLeast"/>
        </w:trPr>
        <w:tc>
          <w:tcPr>
            <w:tcW w:w="279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bCs/>
                <w:sz w:val="24"/>
              </w:rPr>
            </w:pPr>
            <w:r>
              <w:rPr>
                <w:bCs/>
                <w:sz w:val="24"/>
                <w:u w:val="single"/>
              </w:rPr>
              <w:t xml:space="preserve">     </w:t>
            </w:r>
            <w:r>
              <w:rPr>
                <w:rFonts w:hint="eastAsia"/>
                <w:bCs/>
                <w:sz w:val="24"/>
              </w:rPr>
              <w:t>年度缴纳社保金额</w:t>
            </w:r>
          </w:p>
          <w:p>
            <w:pPr>
              <w:ind w:firstLine="468"/>
              <w:jc w:val="center"/>
              <w:rPr>
                <w:rFonts w:ascii="宋体" w:hAnsi="宋体" w:cs="宋体"/>
                <w:bCs/>
                <w:sz w:val="24"/>
              </w:rPr>
            </w:pPr>
            <w:r>
              <w:rPr>
                <w:rFonts w:hint="eastAsia"/>
                <w:bCs/>
                <w:sz w:val="24"/>
              </w:rPr>
              <w:t>（万元）</w:t>
            </w:r>
          </w:p>
        </w:tc>
        <w:tc>
          <w:tcPr>
            <w:tcW w:w="4875" w:type="dxa"/>
            <w:gridSpan w:val="4"/>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bCs/>
                <w:sz w:val="24"/>
              </w:rPr>
            </w:pPr>
            <w:r>
              <w:rPr>
                <w:rFonts w:hint="eastAsia"/>
                <w:bCs/>
                <w:sz w:val="24"/>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r>
      <w:tr>
        <w:tblPrEx>
          <w:tblCellMar>
            <w:top w:w="0" w:type="dxa"/>
            <w:left w:w="0" w:type="dxa"/>
            <w:bottom w:w="0" w:type="dxa"/>
            <w:right w:w="0" w:type="dxa"/>
          </w:tblCellMar>
        </w:tblPrEx>
        <w:trPr>
          <w:trHeight w:val="612" w:hRule="atLeast"/>
        </w:trPr>
        <w:tc>
          <w:tcPr>
            <w:tcW w:w="279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rPr>
                <w:rFonts w:ascii="宋体" w:hAnsi="宋体" w:cs="宋体"/>
                <w:bCs/>
                <w:sz w:val="24"/>
              </w:rPr>
            </w:pPr>
            <w:r>
              <w:rPr>
                <w:rFonts w:ascii="黑体" w:hAnsi="黑体" w:eastAsia="黑体"/>
                <w:bCs/>
                <w:sz w:val="24"/>
                <w:u w:val="single"/>
              </w:rPr>
              <w:t xml:space="preserve">    </w:t>
            </w:r>
            <w:r>
              <w:rPr>
                <w:rFonts w:hint="eastAsia"/>
                <w:bCs/>
                <w:sz w:val="24"/>
              </w:rPr>
              <w:t>年度缴纳社保人数</w:t>
            </w:r>
          </w:p>
        </w:tc>
        <w:tc>
          <w:tcPr>
            <w:tcW w:w="4875" w:type="dxa"/>
            <w:gridSpan w:val="4"/>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bCs/>
                <w:sz w:val="24"/>
              </w:rPr>
            </w:pPr>
            <w:r>
              <w:rPr>
                <w:rFonts w:hint="eastAsia"/>
                <w:bCs/>
                <w:sz w:val="24"/>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r>
      <w:tr>
        <w:tblPrEx>
          <w:tblCellMar>
            <w:top w:w="0" w:type="dxa"/>
            <w:left w:w="0" w:type="dxa"/>
            <w:bottom w:w="0" w:type="dxa"/>
            <w:right w:w="0" w:type="dxa"/>
          </w:tblCellMar>
        </w:tblPrEx>
        <w:trPr>
          <w:trHeight w:val="1012" w:hRule="atLeast"/>
        </w:trPr>
        <w:tc>
          <w:tcPr>
            <w:tcW w:w="279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宋体" w:hAnsi="宋体" w:cs="宋体"/>
                <w:bCs/>
                <w:sz w:val="24"/>
              </w:rPr>
            </w:pPr>
            <w:r>
              <w:rPr>
                <w:rFonts w:ascii="黑体" w:hAnsi="黑体" w:eastAsia="黑体"/>
                <w:bCs/>
                <w:sz w:val="24"/>
                <w:u w:val="single"/>
              </w:rPr>
              <w:t xml:space="preserve">    </w:t>
            </w:r>
            <w:r>
              <w:rPr>
                <w:rFonts w:hint="eastAsia"/>
                <w:bCs/>
                <w:sz w:val="24"/>
              </w:rPr>
              <w:t>年度人均社保金额（元）</w:t>
            </w:r>
          </w:p>
        </w:tc>
        <w:tc>
          <w:tcPr>
            <w:tcW w:w="4875" w:type="dxa"/>
            <w:gridSpan w:val="4"/>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bCs/>
                <w:sz w:val="24"/>
              </w:rPr>
            </w:pPr>
            <w:r>
              <w:rPr>
                <w:rFonts w:hint="eastAsia"/>
                <w:bCs/>
                <w:sz w:val="24"/>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r>
      <w:tr>
        <w:tblPrEx>
          <w:tblCellMar>
            <w:top w:w="0" w:type="dxa"/>
            <w:left w:w="0" w:type="dxa"/>
            <w:bottom w:w="0" w:type="dxa"/>
            <w:right w:w="0" w:type="dxa"/>
          </w:tblCellMar>
        </w:tblPrEx>
        <w:trPr>
          <w:trHeight w:val="947" w:hRule="atLeast"/>
        </w:trPr>
        <w:tc>
          <w:tcPr>
            <w:tcW w:w="279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宋体" w:hAnsi="宋体" w:cs="宋体"/>
                <w:bCs/>
                <w:sz w:val="24"/>
              </w:rPr>
            </w:pPr>
            <w:r>
              <w:rPr>
                <w:rFonts w:ascii="黑体" w:hAnsi="黑体" w:eastAsia="黑体"/>
                <w:bCs/>
                <w:sz w:val="24"/>
                <w:u w:val="single"/>
              </w:rPr>
              <w:t xml:space="preserve">    </w:t>
            </w:r>
            <w:r>
              <w:rPr>
                <w:rFonts w:hint="eastAsia"/>
                <w:bCs/>
                <w:sz w:val="24"/>
              </w:rPr>
              <w:t>年当地最低工资标准（元）</w:t>
            </w:r>
          </w:p>
        </w:tc>
        <w:tc>
          <w:tcPr>
            <w:tcW w:w="4875" w:type="dxa"/>
            <w:gridSpan w:val="4"/>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bCs/>
                <w:sz w:val="24"/>
              </w:rPr>
            </w:pPr>
            <w:r>
              <w:rPr>
                <w:rFonts w:hint="eastAsia"/>
                <w:bCs/>
                <w:sz w:val="24"/>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r>
      <w:tr>
        <w:tblPrEx>
          <w:tblCellMar>
            <w:top w:w="0" w:type="dxa"/>
            <w:left w:w="0" w:type="dxa"/>
            <w:bottom w:w="0" w:type="dxa"/>
            <w:right w:w="0" w:type="dxa"/>
          </w:tblCellMar>
        </w:tblPrEx>
        <w:trPr>
          <w:trHeight w:val="727" w:hRule="atLeast"/>
        </w:trPr>
        <w:tc>
          <w:tcPr>
            <w:tcW w:w="279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宋体" w:hAnsi="宋体" w:cs="宋体"/>
                <w:bCs/>
                <w:sz w:val="24"/>
              </w:rPr>
            </w:pPr>
            <w:r>
              <w:rPr>
                <w:rFonts w:hint="eastAsia"/>
                <w:bCs/>
                <w:sz w:val="24"/>
              </w:rPr>
              <w:t>人均社保金额/</w:t>
            </w:r>
            <w:r>
              <w:rPr>
                <w:rFonts w:ascii="黑体" w:hAnsi="黑体" w:eastAsia="黑体"/>
                <w:bCs/>
                <w:sz w:val="24"/>
                <w:u w:val="single"/>
              </w:rPr>
              <w:t xml:space="preserve">   </w:t>
            </w:r>
            <w:r>
              <w:rPr>
                <w:rFonts w:hint="eastAsia"/>
                <w:bCs/>
                <w:sz w:val="24"/>
              </w:rPr>
              <w:t>年当地最低工资标准</w:t>
            </w:r>
          </w:p>
        </w:tc>
        <w:tc>
          <w:tcPr>
            <w:tcW w:w="4875" w:type="dxa"/>
            <w:gridSpan w:val="4"/>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bCs/>
                <w:sz w:val="24"/>
              </w:rPr>
            </w:pPr>
            <w:r>
              <w:rPr>
                <w:rFonts w:hint="eastAsia"/>
                <w:bCs/>
                <w:sz w:val="24"/>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r>
      <w:tr>
        <w:tblPrEx>
          <w:tblCellMar>
            <w:top w:w="0" w:type="dxa"/>
            <w:left w:w="0" w:type="dxa"/>
            <w:bottom w:w="0" w:type="dxa"/>
            <w:right w:w="0" w:type="dxa"/>
          </w:tblCellMar>
        </w:tblPrEx>
        <w:trPr>
          <w:trHeight w:val="47" w:hRule="atLeast"/>
        </w:trPr>
        <w:tc>
          <w:tcPr>
            <w:tcW w:w="9373" w:type="dxa"/>
            <w:gridSpan w:val="6"/>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76" w:lineRule="auto"/>
              <w:rPr>
                <w:bCs/>
                <w:sz w:val="24"/>
              </w:rPr>
            </w:pPr>
            <w:r>
              <w:rPr>
                <w:rFonts w:hint="eastAsia"/>
                <w:bCs/>
                <w:sz w:val="24"/>
              </w:rPr>
              <w:t>说明：</w:t>
            </w:r>
          </w:p>
          <w:p>
            <w:pPr>
              <w:spacing w:line="360" w:lineRule="exact"/>
              <w:ind w:firstLine="480" w:firstLineChars="200"/>
              <w:rPr>
                <w:rFonts w:ascii="宋体" w:hAnsi="宋体"/>
                <w:bCs/>
                <w:sz w:val="24"/>
              </w:rPr>
            </w:pPr>
            <w:r>
              <w:rPr>
                <w:rFonts w:ascii="宋体" w:hAnsi="宋体"/>
                <w:bCs/>
                <w:i/>
                <w:sz w:val="24"/>
              </w:rPr>
              <w:t>1.</w:t>
            </w:r>
            <w:r>
              <w:rPr>
                <w:rFonts w:hint="eastAsia" w:ascii="宋体" w:hAnsi="宋体"/>
                <w:bCs/>
                <w:i/>
                <w:sz w:val="24"/>
              </w:rPr>
              <w:t>采购机构根据评审标准具体内容确定本表具体项目。</w:t>
            </w:r>
          </w:p>
          <w:p>
            <w:pPr>
              <w:spacing w:line="360" w:lineRule="exact"/>
              <w:ind w:firstLine="480" w:firstLineChars="200"/>
              <w:rPr>
                <w:rFonts w:ascii="宋体" w:hAnsi="宋体"/>
                <w:bCs/>
                <w:sz w:val="24"/>
              </w:rPr>
            </w:pPr>
            <w:r>
              <w:rPr>
                <w:rFonts w:hint="eastAsia" w:ascii="宋体" w:hAnsi="宋体"/>
                <w:bCs/>
                <w:sz w:val="24"/>
              </w:rPr>
              <w:t>2.纳税和社保情况依据税务（社保）部门或银行出具的相关凭证如实填写，相关凭证复印件附后。其他内容依据会计师事务所出具的《审计报告》</w:t>
            </w:r>
            <w:r>
              <w:rPr>
                <w:rFonts w:hint="eastAsia" w:ascii="宋体" w:hAnsi="宋体"/>
                <w:bCs/>
                <w:sz w:val="24"/>
                <w:lang w:eastAsia="zh-CN"/>
              </w:rPr>
              <w:t>公司财务报表</w:t>
            </w:r>
            <w:r>
              <w:rPr>
                <w:rFonts w:hint="eastAsia" w:ascii="宋体" w:hAnsi="宋体"/>
                <w:bCs/>
                <w:sz w:val="24"/>
              </w:rPr>
              <w:t>中相关数据如实填写。</w:t>
            </w:r>
          </w:p>
          <w:p>
            <w:pPr>
              <w:spacing w:line="360" w:lineRule="exact"/>
              <w:ind w:firstLine="480" w:firstLineChars="200"/>
              <w:rPr>
                <w:rFonts w:ascii="宋体" w:hAnsi="宋体"/>
                <w:bCs/>
                <w:sz w:val="24"/>
              </w:rPr>
            </w:pPr>
            <w:r>
              <w:rPr>
                <w:rFonts w:hint="eastAsia" w:ascii="宋体" w:hAnsi="宋体"/>
                <w:bCs/>
                <w:sz w:val="24"/>
              </w:rPr>
              <w:t>3.“页码”栏中填写数据所在《商务技术文件》或《资格证明文件》中的页码位置。</w:t>
            </w:r>
          </w:p>
          <w:p>
            <w:pPr>
              <w:spacing w:line="360" w:lineRule="exact"/>
              <w:ind w:firstLine="480" w:firstLineChars="200"/>
              <w:rPr>
                <w:rFonts w:ascii="宋体" w:hAnsi="宋体" w:cs="宋体"/>
                <w:bCs/>
                <w:sz w:val="24"/>
              </w:rPr>
            </w:pPr>
            <w:r>
              <w:rPr>
                <w:rFonts w:ascii="宋体" w:hAnsi="宋体"/>
                <w:bCs/>
                <w:sz w:val="24"/>
              </w:rPr>
              <w:t>4.</w:t>
            </w:r>
            <w:r>
              <w:rPr>
                <w:rFonts w:hint="eastAsia" w:ascii="宋体" w:hAnsi="宋体"/>
                <w:bCs/>
                <w:sz w:val="24"/>
              </w:rPr>
              <w:t>评审委员会审核发现《财务社保数据统计表》与《审计报告》</w:t>
            </w:r>
            <w:r>
              <w:rPr>
                <w:rFonts w:hint="eastAsia" w:ascii="宋体" w:hAnsi="宋体"/>
                <w:bCs/>
                <w:sz w:val="24"/>
                <w:lang w:eastAsia="zh-CN"/>
              </w:rPr>
              <w:t>或公司财务报表</w:t>
            </w:r>
            <w:r>
              <w:rPr>
                <w:rFonts w:hint="eastAsia" w:ascii="宋体" w:hAnsi="宋体"/>
                <w:bCs/>
                <w:sz w:val="24"/>
              </w:rPr>
              <w:t>等证明材料中数据不一致的，以证明材料实际数据为准。</w:t>
            </w:r>
          </w:p>
        </w:tc>
      </w:tr>
    </w:tbl>
    <w:p>
      <w:pPr>
        <w:pStyle w:val="6"/>
        <w:spacing w:before="120" w:beforeLines="50" w:after="120" w:afterLines="50" w:line="560" w:lineRule="exact"/>
        <w:rPr>
          <w:b w:val="0"/>
        </w:rPr>
      </w:pPr>
      <w:r>
        <w:rPr>
          <w:rFonts w:hint="eastAsia"/>
          <w:b w:val="0"/>
        </w:rPr>
        <w:t>附件2-1</w:t>
      </w:r>
      <w:r>
        <w:rPr>
          <w:rFonts w:hint="eastAsia"/>
          <w:b w:val="0"/>
          <w:lang w:val="en-US" w:eastAsia="zh-CN"/>
        </w:rPr>
        <w:t>7</w:t>
      </w:r>
      <w:r>
        <w:rPr>
          <w:b w:val="0"/>
        </w:rPr>
        <w:t xml:space="preserve"> </w:t>
      </w:r>
      <w:r>
        <w:rPr>
          <w:rFonts w:hint="eastAsia"/>
          <w:b w:val="0"/>
        </w:rPr>
        <w:t>其他材料</w:t>
      </w:r>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其他材料</w:t>
      </w:r>
    </w:p>
    <w:p>
      <w:pPr>
        <w:jc w:val="center"/>
        <w:rPr>
          <w:bCs/>
          <w:sz w:val="36"/>
          <w:szCs w:val="36"/>
        </w:rPr>
      </w:pPr>
      <w:r>
        <w:rPr>
          <w:rFonts w:hint="eastAsia"/>
          <w:bCs/>
          <w:sz w:val="28"/>
          <w:szCs w:val="28"/>
        </w:rPr>
        <w:t>（报价供应商根据评审内容，自行添加其他资料）</w:t>
      </w:r>
    </w:p>
    <w:p>
      <w:pPr>
        <w:widowControl/>
        <w:jc w:val="left"/>
        <w:rPr>
          <w:bCs/>
          <w:sz w:val="36"/>
          <w:szCs w:val="36"/>
        </w:rPr>
      </w:pPr>
      <w:r>
        <w:rPr>
          <w:bCs/>
          <w:sz w:val="36"/>
          <w:szCs w:val="36"/>
        </w:rPr>
        <w:br w:type="page"/>
      </w:r>
    </w:p>
    <w:p>
      <w:pPr>
        <w:spacing w:before="600" w:beforeLines="250" w:after="960" w:afterLines="400" w:line="360" w:lineRule="auto"/>
        <w:jc w:val="center"/>
        <w:rPr>
          <w:rFonts w:ascii="方正小标宋简体" w:eastAsia="方正小标宋简体"/>
          <w:bCs/>
          <w:sz w:val="48"/>
          <w:szCs w:val="48"/>
        </w:rPr>
      </w:pPr>
    </w:p>
    <w:p>
      <w:pPr>
        <w:spacing w:before="600" w:beforeLines="250" w:line="480" w:lineRule="auto"/>
        <w:jc w:val="center"/>
        <w:rPr>
          <w:rFonts w:ascii="方正小标宋简体" w:eastAsia="方正小标宋简体"/>
          <w:bCs/>
          <w:sz w:val="44"/>
          <w:szCs w:val="44"/>
        </w:rPr>
      </w:pPr>
      <w:r>
        <w:rPr>
          <w:rFonts w:hint="eastAsia" w:ascii="方正小标宋简体" w:eastAsia="方正小标宋简体"/>
          <w:bCs/>
          <w:sz w:val="48"/>
          <w:szCs w:val="48"/>
        </w:rPr>
        <w:t>军队物资类项目竞争性谈判</w:t>
      </w:r>
    </w:p>
    <w:p>
      <w:pPr>
        <w:spacing w:after="480" w:afterLines="200"/>
        <w:jc w:val="center"/>
        <w:rPr>
          <w:rFonts w:ascii="方正小标宋简体" w:eastAsia="方正小标宋简体"/>
          <w:bCs/>
        </w:rPr>
      </w:pPr>
      <w:r>
        <w:rPr>
          <w:rFonts w:hint="eastAsia" w:ascii="方正小标宋简体" w:eastAsia="方正小标宋简体"/>
          <w:bCs/>
          <w:sz w:val="84"/>
          <w:szCs w:val="84"/>
        </w:rPr>
        <w:t>报 价 文 件</w:t>
      </w:r>
    </w:p>
    <w:p>
      <w:pPr>
        <w:keepNext/>
        <w:keepLines/>
        <w:spacing w:before="260" w:after="260" w:line="416" w:lineRule="auto"/>
        <w:jc w:val="center"/>
        <w:outlineLvl w:val="2"/>
        <w:rPr>
          <w:rFonts w:ascii="方正小标宋简体" w:eastAsia="方正小标宋简体"/>
          <w:bCs/>
          <w:sz w:val="52"/>
          <w:szCs w:val="52"/>
        </w:rPr>
      </w:pPr>
      <w:bookmarkStart w:id="534" w:name="_Toc132191248"/>
      <w:bookmarkStart w:id="535" w:name="_Toc26519"/>
      <w:r>
        <w:rPr>
          <w:rFonts w:hint="eastAsia" w:ascii="方正小标宋简体" w:eastAsia="方正小标宋简体"/>
          <w:bCs/>
          <w:sz w:val="52"/>
          <w:szCs w:val="52"/>
        </w:rPr>
        <w:t>三、资格证明文件</w:t>
      </w:r>
      <w:bookmarkEnd w:id="534"/>
      <w:bookmarkEnd w:id="535"/>
    </w:p>
    <w:p>
      <w:pPr>
        <w:adjustRightInd w:val="0"/>
        <w:snapToGrid w:val="0"/>
        <w:spacing w:line="360" w:lineRule="auto"/>
        <w:rPr>
          <w:rFonts w:ascii="方正小标宋简体" w:hAnsi="黑体" w:eastAsia="方正小标宋简体"/>
          <w:bCs/>
          <w:sz w:val="32"/>
          <w:szCs w:val="32"/>
        </w:rPr>
      </w:pP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项目名称：</w:t>
      </w:r>
      <w:r>
        <w:rPr>
          <w:rFonts w:hint="eastAsia" w:ascii="方正小标宋简体" w:eastAsia="方正小标宋简体"/>
          <w:bCs/>
          <w:sz w:val="36"/>
          <w:szCs w:val="36"/>
          <w:u w:val="single"/>
        </w:rPr>
        <w:t xml:space="preserve">                </w:t>
      </w: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项目编号：</w:t>
      </w:r>
      <w:r>
        <w:rPr>
          <w:rFonts w:hint="eastAsia" w:ascii="方正小标宋简体" w:eastAsia="方正小标宋简体"/>
          <w:bCs/>
          <w:sz w:val="36"/>
          <w:szCs w:val="36"/>
          <w:u w:val="single"/>
        </w:rPr>
        <w:t xml:space="preserve">                </w:t>
      </w: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 xml:space="preserve">包 </w:t>
      </w:r>
      <w:r>
        <w:rPr>
          <w:rFonts w:ascii="方正小标宋简体" w:eastAsia="方正小标宋简体"/>
          <w:bCs/>
          <w:sz w:val="36"/>
          <w:szCs w:val="36"/>
        </w:rPr>
        <w:t xml:space="preserve">   </w:t>
      </w:r>
      <w:r>
        <w:rPr>
          <w:rFonts w:hint="eastAsia" w:ascii="方正小标宋简体" w:eastAsia="方正小标宋简体"/>
          <w:bCs/>
          <w:sz w:val="36"/>
          <w:szCs w:val="36"/>
        </w:rPr>
        <w:t>号：</w:t>
      </w:r>
      <w:r>
        <w:rPr>
          <w:rFonts w:hint="eastAsia" w:ascii="方正小标宋简体" w:eastAsia="方正小标宋简体"/>
          <w:bCs/>
          <w:sz w:val="36"/>
          <w:szCs w:val="36"/>
          <w:u w:val="single"/>
        </w:rPr>
        <w:t xml:space="preserve">                </w:t>
      </w: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ind w:firstLine="720" w:firstLineChars="200"/>
        <w:jc w:val="center"/>
        <w:rPr>
          <w:rFonts w:ascii="方正小标宋简体" w:eastAsia="方正小标宋简体"/>
          <w:bCs/>
          <w:sz w:val="36"/>
          <w:szCs w:val="36"/>
        </w:rPr>
      </w:pPr>
      <w:r>
        <w:rPr>
          <w:rFonts w:hint="eastAsia" w:ascii="方正小标宋简体" w:eastAsia="方正小标宋简体"/>
          <w:bCs/>
          <w:sz w:val="36"/>
          <w:szCs w:val="36"/>
        </w:rPr>
        <w:t>报价供应商：</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（盖章）</w:t>
      </w:r>
    </w:p>
    <w:p>
      <w:pPr>
        <w:spacing w:before="240" w:beforeLines="100"/>
        <w:jc w:val="center"/>
        <w:rPr>
          <w:rFonts w:ascii="方正小标宋简体" w:hAnsi="宋体" w:eastAsia="方正小标宋简体"/>
          <w:bCs/>
        </w:rPr>
      </w:pP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年</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月</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日</w:t>
      </w:r>
    </w:p>
    <w:p>
      <w:pPr>
        <w:spacing w:before="240" w:beforeLines="100"/>
        <w:ind w:firstLine="720" w:firstLineChars="200"/>
        <w:jc w:val="center"/>
        <w:rPr>
          <w:rFonts w:ascii="方正小标宋简体" w:eastAsia="方正小标宋简体"/>
          <w:bCs/>
          <w:sz w:val="36"/>
          <w:szCs w:val="36"/>
        </w:rPr>
      </w:pPr>
    </w:p>
    <w:p>
      <w:pPr>
        <w:pStyle w:val="6"/>
        <w:spacing w:before="120" w:beforeLines="50" w:after="120" w:afterLines="50" w:line="560" w:lineRule="exact"/>
        <w:rPr>
          <w:b w:val="0"/>
          <w:lang w:val="zh-CN"/>
        </w:rPr>
      </w:pPr>
      <w:bookmarkStart w:id="536" w:name="_Toc5235"/>
      <w:bookmarkStart w:id="537" w:name="_Toc7783"/>
      <w:bookmarkStart w:id="538" w:name="_Toc917"/>
      <w:bookmarkStart w:id="539" w:name="_Toc112768478"/>
      <w:bookmarkStart w:id="540" w:name="_Toc6383"/>
      <w:bookmarkStart w:id="541" w:name="_Toc24104"/>
      <w:r>
        <w:rPr>
          <w:rFonts w:hint="eastAsia"/>
          <w:b w:val="0"/>
        </w:rPr>
        <w:t>附件</w:t>
      </w:r>
      <w:r>
        <w:rPr>
          <w:b w:val="0"/>
        </w:rPr>
        <w:t xml:space="preserve">3-1 </w:t>
      </w:r>
      <w:r>
        <w:rPr>
          <w:rFonts w:hint="eastAsia"/>
          <w:b w:val="0"/>
        </w:rPr>
        <w:t>资格证明文件索引表</w:t>
      </w:r>
      <w:bookmarkEnd w:id="536"/>
      <w:bookmarkEnd w:id="537"/>
      <w:bookmarkEnd w:id="538"/>
      <w:bookmarkEnd w:id="539"/>
      <w:bookmarkEnd w:id="540"/>
      <w:bookmarkEnd w:id="541"/>
    </w:p>
    <w:p>
      <w:pPr>
        <w:spacing w:before="120" w:beforeLines="50" w:after="120" w:afterLines="50" w:line="560" w:lineRule="exact"/>
        <w:jc w:val="center"/>
        <w:rPr>
          <w:rFonts w:ascii="方正小标宋简体" w:hAnsi="宋体" w:eastAsia="方正小标宋简体"/>
          <w:bCs/>
          <w:sz w:val="36"/>
          <w:szCs w:val="36"/>
        </w:rPr>
      </w:pPr>
      <w:r>
        <w:rPr>
          <w:rFonts w:hint="eastAsia" w:ascii="黑体" w:hAnsi="黑体" w:eastAsia="黑体" w:cs="黑体"/>
          <w:bCs/>
          <w:sz w:val="36"/>
          <w:szCs w:val="36"/>
        </w:rPr>
        <w:t>资格证明文件</w:t>
      </w:r>
      <w:bookmarkStart w:id="542" w:name="_Hlk112700834"/>
      <w:r>
        <w:rPr>
          <w:rFonts w:hint="eastAsia" w:ascii="黑体" w:hAnsi="黑体" w:eastAsia="黑体" w:cs="黑体"/>
          <w:bCs/>
          <w:sz w:val="36"/>
          <w:szCs w:val="36"/>
        </w:rPr>
        <w:t>索引表</w:t>
      </w:r>
      <w:bookmarkEnd w:id="542"/>
    </w:p>
    <w:p>
      <w:pPr>
        <w:spacing w:line="400" w:lineRule="exact"/>
        <w:rPr>
          <w:rFonts w:ascii="黑体" w:hAnsi="黑体" w:eastAsia="黑体"/>
          <w:bCs/>
          <w:sz w:val="28"/>
          <w:szCs w:val="28"/>
        </w:rPr>
      </w:pPr>
      <w:r>
        <w:rPr>
          <w:rFonts w:hint="eastAsia" w:ascii="黑体" w:hAnsi="黑体" w:eastAsia="黑体"/>
          <w:bCs/>
          <w:sz w:val="28"/>
          <w:szCs w:val="28"/>
        </w:rPr>
        <w:t>报价供应商务必在资格证明文件正文前制作本索引表。</w:t>
      </w:r>
    </w:p>
    <w:tbl>
      <w:tblPr>
        <w:tblStyle w:val="44"/>
        <w:tblW w:w="5000" w:type="pct"/>
        <w:jc w:val="center"/>
        <w:tblLayout w:type="fixed"/>
        <w:tblCellMar>
          <w:top w:w="0" w:type="dxa"/>
          <w:left w:w="108" w:type="dxa"/>
          <w:bottom w:w="0" w:type="dxa"/>
          <w:right w:w="108" w:type="dxa"/>
        </w:tblCellMar>
      </w:tblPr>
      <w:tblGrid>
        <w:gridCol w:w="959"/>
        <w:gridCol w:w="6804"/>
        <w:gridCol w:w="1807"/>
      </w:tblGrid>
      <w:tr>
        <w:tblPrEx>
          <w:tblCellMar>
            <w:top w:w="0" w:type="dxa"/>
            <w:left w:w="108" w:type="dxa"/>
            <w:bottom w:w="0" w:type="dxa"/>
            <w:right w:w="108" w:type="dxa"/>
          </w:tblCellMar>
        </w:tblPrEx>
        <w:trPr>
          <w:trHeight w:val="549" w:hRule="atLeast"/>
          <w:jc w:val="center"/>
        </w:trPr>
        <w:tc>
          <w:tcPr>
            <w:tcW w:w="501" w:type="pct"/>
            <w:vMerge w:val="restart"/>
            <w:tcBorders>
              <w:top w:val="single" w:color="auto" w:sz="4" w:space="0"/>
              <w:left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序号</w:t>
            </w:r>
          </w:p>
        </w:tc>
        <w:tc>
          <w:tcPr>
            <w:tcW w:w="3555" w:type="pct"/>
            <w:vMerge w:val="restart"/>
            <w:tcBorders>
              <w:top w:val="single" w:color="auto" w:sz="4" w:space="0"/>
              <w:left w:val="nil"/>
              <w:right w:val="single" w:color="auto" w:sz="4" w:space="0"/>
            </w:tcBorders>
            <w:vAlign w:val="center"/>
          </w:tcPr>
          <w:p>
            <w:pPr>
              <w:jc w:val="center"/>
              <w:rPr>
                <w:rFonts w:ascii="宋体" w:hAnsi="宋体" w:cs="宋体"/>
                <w:bCs/>
                <w:sz w:val="24"/>
              </w:rPr>
            </w:pPr>
            <w:r>
              <w:rPr>
                <w:rFonts w:hint="eastAsia"/>
                <w:bCs/>
                <w:sz w:val="24"/>
              </w:rPr>
              <w:t>资格性审查</w:t>
            </w:r>
            <w:r>
              <w:rPr>
                <w:rFonts w:hint="eastAsia" w:ascii="宋体" w:hAnsi="宋体" w:cs="宋体"/>
                <w:bCs/>
                <w:sz w:val="24"/>
              </w:rPr>
              <w:t>项目</w:t>
            </w:r>
          </w:p>
        </w:tc>
        <w:tc>
          <w:tcPr>
            <w:tcW w:w="944" w:type="pct"/>
            <w:vMerge w:val="restart"/>
            <w:tcBorders>
              <w:top w:val="single" w:color="auto" w:sz="4" w:space="0"/>
              <w:left w:val="nil"/>
              <w:right w:val="single" w:color="auto" w:sz="4" w:space="0"/>
            </w:tcBorders>
            <w:vAlign w:val="center"/>
          </w:tcPr>
          <w:p>
            <w:pPr>
              <w:jc w:val="center"/>
              <w:rPr>
                <w:rFonts w:ascii="宋体" w:hAnsi="宋体" w:cs="宋体"/>
                <w:bCs/>
                <w:sz w:val="24"/>
              </w:rPr>
            </w:pPr>
            <w:r>
              <w:rPr>
                <w:rFonts w:hint="eastAsia" w:ascii="宋体" w:hAnsi="宋体" w:cs="宋体"/>
                <w:bCs/>
                <w:sz w:val="24"/>
              </w:rPr>
              <w:t>资格证明文件位置页码</w:t>
            </w:r>
          </w:p>
        </w:tc>
      </w:tr>
      <w:tr>
        <w:tblPrEx>
          <w:tblCellMar>
            <w:top w:w="0" w:type="dxa"/>
            <w:left w:w="108" w:type="dxa"/>
            <w:bottom w:w="0" w:type="dxa"/>
            <w:right w:w="108" w:type="dxa"/>
          </w:tblCellMar>
        </w:tblPrEx>
        <w:trPr>
          <w:trHeight w:val="367" w:hRule="atLeast"/>
          <w:jc w:val="center"/>
        </w:trPr>
        <w:tc>
          <w:tcPr>
            <w:tcW w:w="501" w:type="pct"/>
            <w:vMerge w:val="continue"/>
            <w:tcBorders>
              <w:left w:val="single" w:color="auto" w:sz="4" w:space="0"/>
              <w:bottom w:val="single" w:color="auto" w:sz="4" w:space="0"/>
              <w:right w:val="single" w:color="auto" w:sz="4" w:space="0"/>
            </w:tcBorders>
            <w:vAlign w:val="center"/>
          </w:tcPr>
          <w:p>
            <w:pPr>
              <w:jc w:val="center"/>
              <w:rPr>
                <w:rFonts w:ascii="宋体" w:hAnsi="宋体" w:cs="宋体"/>
                <w:bCs/>
                <w:sz w:val="24"/>
              </w:rPr>
            </w:pPr>
          </w:p>
        </w:tc>
        <w:tc>
          <w:tcPr>
            <w:tcW w:w="3555" w:type="pct"/>
            <w:vMerge w:val="continue"/>
            <w:tcBorders>
              <w:left w:val="nil"/>
              <w:bottom w:val="single" w:color="auto" w:sz="4" w:space="0"/>
              <w:right w:val="single" w:color="auto" w:sz="4" w:space="0"/>
            </w:tcBorders>
            <w:vAlign w:val="center"/>
          </w:tcPr>
          <w:p>
            <w:pPr>
              <w:jc w:val="center"/>
              <w:rPr>
                <w:rFonts w:ascii="宋体" w:hAnsi="宋体" w:cs="宋体"/>
                <w:bCs/>
                <w:sz w:val="24"/>
              </w:rPr>
            </w:pPr>
          </w:p>
        </w:tc>
        <w:tc>
          <w:tcPr>
            <w:tcW w:w="944" w:type="pct"/>
            <w:vMerge w:val="continue"/>
            <w:tcBorders>
              <w:left w:val="nil"/>
              <w:bottom w:val="single" w:color="auto" w:sz="4" w:space="0"/>
              <w:right w:val="single" w:color="auto" w:sz="4" w:space="0"/>
            </w:tcBorders>
            <w:vAlign w:val="center"/>
          </w:tcPr>
          <w:p>
            <w:pPr>
              <w:jc w:val="center"/>
              <w:rPr>
                <w:rFonts w:ascii="宋体" w:hAnsi="宋体" w:cs="宋体"/>
                <w:bCs/>
                <w:sz w:val="24"/>
              </w:rPr>
            </w:pPr>
          </w:p>
        </w:tc>
      </w:tr>
      <w:tr>
        <w:tblPrEx>
          <w:tblCellMar>
            <w:top w:w="0" w:type="dxa"/>
            <w:left w:w="108" w:type="dxa"/>
            <w:bottom w:w="0" w:type="dxa"/>
            <w:right w:w="108" w:type="dxa"/>
          </w:tblCellMar>
        </w:tblPrEx>
        <w:trPr>
          <w:trHeight w:val="836" w:hRule="exact"/>
          <w:jc w:val="center"/>
        </w:trPr>
        <w:tc>
          <w:tcPr>
            <w:tcW w:w="501" w:type="pct"/>
            <w:tcBorders>
              <w:top w:val="nil"/>
              <w:left w:val="single" w:color="auto" w:sz="4" w:space="0"/>
              <w:bottom w:val="single" w:color="auto" w:sz="4" w:space="0"/>
              <w:right w:val="single" w:color="auto" w:sz="4" w:space="0"/>
            </w:tcBorders>
            <w:vAlign w:val="center"/>
          </w:tcPr>
          <w:p>
            <w:pPr>
              <w:jc w:val="center"/>
              <w:rPr>
                <w:bCs/>
                <w:sz w:val="24"/>
              </w:rPr>
            </w:pPr>
            <w:r>
              <w:rPr>
                <w:rFonts w:hint="eastAsia"/>
                <w:bCs/>
                <w:sz w:val="24"/>
              </w:rPr>
              <w:t>一</w:t>
            </w:r>
          </w:p>
        </w:tc>
        <w:tc>
          <w:tcPr>
            <w:tcW w:w="3555" w:type="pct"/>
            <w:tcBorders>
              <w:top w:val="nil"/>
              <w:left w:val="nil"/>
              <w:bottom w:val="single" w:color="auto" w:sz="4" w:space="0"/>
              <w:right w:val="single" w:color="auto" w:sz="4" w:space="0"/>
            </w:tcBorders>
            <w:vAlign w:val="center"/>
          </w:tcPr>
          <w:p>
            <w:pPr>
              <w:jc w:val="center"/>
              <w:rPr>
                <w:bCs/>
                <w:sz w:val="24"/>
              </w:rPr>
            </w:pPr>
            <w:r>
              <w:rPr>
                <w:rFonts w:hint="eastAsia"/>
                <w:bCs/>
                <w:sz w:val="24"/>
              </w:rPr>
              <w:t>一般资格性审查内容</w:t>
            </w:r>
          </w:p>
        </w:tc>
        <w:tc>
          <w:tcPr>
            <w:tcW w:w="944"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501"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w:t>
            </w:r>
          </w:p>
        </w:tc>
        <w:tc>
          <w:tcPr>
            <w:tcW w:w="3555" w:type="pct"/>
            <w:tcBorders>
              <w:top w:val="nil"/>
              <w:left w:val="nil"/>
              <w:bottom w:val="single" w:color="auto" w:sz="4" w:space="0"/>
              <w:right w:val="single" w:color="auto" w:sz="4" w:space="0"/>
            </w:tcBorders>
            <w:vAlign w:val="center"/>
          </w:tcPr>
          <w:p>
            <w:pPr>
              <w:jc w:val="center"/>
              <w:rPr>
                <w:bCs/>
                <w:sz w:val="24"/>
              </w:rPr>
            </w:pPr>
          </w:p>
        </w:tc>
        <w:tc>
          <w:tcPr>
            <w:tcW w:w="944"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501"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2</w:t>
            </w:r>
          </w:p>
        </w:tc>
        <w:tc>
          <w:tcPr>
            <w:tcW w:w="3555" w:type="pct"/>
            <w:tcBorders>
              <w:top w:val="nil"/>
              <w:left w:val="nil"/>
              <w:bottom w:val="single" w:color="auto" w:sz="4" w:space="0"/>
              <w:right w:val="single" w:color="auto" w:sz="4" w:space="0"/>
            </w:tcBorders>
            <w:vAlign w:val="center"/>
          </w:tcPr>
          <w:p>
            <w:pPr>
              <w:jc w:val="center"/>
              <w:rPr>
                <w:bCs/>
                <w:sz w:val="24"/>
              </w:rPr>
            </w:pPr>
          </w:p>
        </w:tc>
        <w:tc>
          <w:tcPr>
            <w:tcW w:w="944"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501"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3</w:t>
            </w:r>
          </w:p>
        </w:tc>
        <w:tc>
          <w:tcPr>
            <w:tcW w:w="3555" w:type="pct"/>
            <w:tcBorders>
              <w:top w:val="nil"/>
              <w:left w:val="nil"/>
              <w:bottom w:val="single" w:color="auto" w:sz="4" w:space="0"/>
              <w:right w:val="single" w:color="auto" w:sz="4" w:space="0"/>
            </w:tcBorders>
            <w:vAlign w:val="center"/>
          </w:tcPr>
          <w:p>
            <w:pPr>
              <w:jc w:val="center"/>
              <w:rPr>
                <w:bCs/>
                <w:sz w:val="24"/>
              </w:rPr>
            </w:pPr>
          </w:p>
        </w:tc>
        <w:tc>
          <w:tcPr>
            <w:tcW w:w="944"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501" w:type="pct"/>
            <w:tcBorders>
              <w:top w:val="nil"/>
              <w:left w:val="single" w:color="auto" w:sz="4" w:space="0"/>
              <w:bottom w:val="single" w:color="auto" w:sz="4" w:space="0"/>
              <w:right w:val="single" w:color="auto" w:sz="4" w:space="0"/>
            </w:tcBorders>
            <w:vAlign w:val="center"/>
          </w:tcPr>
          <w:p>
            <w:pPr>
              <w:jc w:val="center"/>
              <w:rPr>
                <w:bCs/>
                <w:sz w:val="24"/>
              </w:rPr>
            </w:pPr>
            <w:r>
              <w:rPr>
                <w:bCs/>
                <w:sz w:val="24"/>
              </w:rPr>
              <w:t xml:space="preserve">   </w:t>
            </w:r>
          </w:p>
        </w:tc>
        <w:tc>
          <w:tcPr>
            <w:tcW w:w="3555" w:type="pct"/>
            <w:tcBorders>
              <w:top w:val="nil"/>
              <w:left w:val="nil"/>
              <w:bottom w:val="single" w:color="auto" w:sz="4" w:space="0"/>
              <w:right w:val="single" w:color="auto" w:sz="4" w:space="0"/>
            </w:tcBorders>
            <w:vAlign w:val="center"/>
          </w:tcPr>
          <w:p>
            <w:pPr>
              <w:jc w:val="center"/>
              <w:rPr>
                <w:bCs/>
                <w:sz w:val="24"/>
              </w:rPr>
            </w:pPr>
            <w:r>
              <w:rPr>
                <w:rFonts w:hint="eastAsia"/>
                <w:bCs/>
                <w:sz w:val="24"/>
              </w:rPr>
              <w:t>……</w:t>
            </w:r>
          </w:p>
        </w:tc>
        <w:tc>
          <w:tcPr>
            <w:tcW w:w="944" w:type="pct"/>
            <w:tcBorders>
              <w:top w:val="nil"/>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836" w:hRule="exact"/>
          <w:jc w:val="center"/>
        </w:trPr>
        <w:tc>
          <w:tcPr>
            <w:tcW w:w="501" w:type="pc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二</w:t>
            </w:r>
          </w:p>
        </w:tc>
        <w:tc>
          <w:tcPr>
            <w:tcW w:w="3555" w:type="pc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特定资格性审查内容</w:t>
            </w:r>
          </w:p>
        </w:tc>
        <w:tc>
          <w:tcPr>
            <w:tcW w:w="944" w:type="pct"/>
            <w:tcBorders>
              <w:top w:val="single" w:color="auto" w:sz="4" w:space="0"/>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50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w:t>
            </w:r>
          </w:p>
        </w:tc>
        <w:tc>
          <w:tcPr>
            <w:tcW w:w="3555" w:type="pct"/>
            <w:tcBorders>
              <w:top w:val="single" w:color="auto" w:sz="4" w:space="0"/>
              <w:left w:val="nil"/>
              <w:bottom w:val="single" w:color="auto" w:sz="4" w:space="0"/>
              <w:right w:val="single" w:color="auto" w:sz="4" w:space="0"/>
            </w:tcBorders>
            <w:vAlign w:val="center"/>
          </w:tcPr>
          <w:p>
            <w:pPr>
              <w:jc w:val="center"/>
              <w:rPr>
                <w:bCs/>
                <w:sz w:val="24"/>
              </w:rPr>
            </w:pPr>
          </w:p>
        </w:tc>
        <w:tc>
          <w:tcPr>
            <w:tcW w:w="944" w:type="pct"/>
            <w:tcBorders>
              <w:top w:val="single" w:color="auto" w:sz="4" w:space="0"/>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50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2</w:t>
            </w:r>
          </w:p>
        </w:tc>
        <w:tc>
          <w:tcPr>
            <w:tcW w:w="3555"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944" w:type="pct"/>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50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3</w:t>
            </w:r>
          </w:p>
        </w:tc>
        <w:tc>
          <w:tcPr>
            <w:tcW w:w="3555"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944"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836" w:hRule="exact"/>
          <w:jc w:val="center"/>
        </w:trPr>
        <w:tc>
          <w:tcPr>
            <w:tcW w:w="501"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3555" w:type="pc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w:t>
            </w:r>
          </w:p>
        </w:tc>
        <w:tc>
          <w:tcPr>
            <w:tcW w:w="944"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1153" w:hRule="exact"/>
          <w:jc w:val="center"/>
        </w:trPr>
        <w:tc>
          <w:tcPr>
            <w:tcW w:w="1" w:type="pct"/>
            <w:gridSpan w:val="3"/>
            <w:tcBorders>
              <w:top w:val="single" w:color="auto" w:sz="4" w:space="0"/>
              <w:left w:val="single" w:color="auto" w:sz="4" w:space="0"/>
              <w:bottom w:val="single" w:color="auto" w:sz="4" w:space="0"/>
              <w:right w:val="single" w:color="auto" w:sz="4" w:space="0"/>
            </w:tcBorders>
            <w:vAlign w:val="center"/>
          </w:tcPr>
          <w:p>
            <w:pPr>
              <w:spacing w:line="276" w:lineRule="auto"/>
              <w:jc w:val="left"/>
              <w:rPr>
                <w:bCs/>
                <w:sz w:val="24"/>
              </w:rPr>
            </w:pPr>
            <w:r>
              <w:rPr>
                <w:rFonts w:hint="eastAsia"/>
                <w:bCs/>
                <w:sz w:val="24"/>
              </w:rPr>
              <w:t>备注：报价供应商按照《资格性审查表》编制此表。报价供应商应当根据本单位实际情况和报价文件内容填写，并标注相关证明材料在资格证明文件的位置页码。“密封满足谈判文件要求”可以不填写。报价供应商不得虚报、瞒报、漏报或虚假承诺。</w:t>
            </w:r>
          </w:p>
        </w:tc>
      </w:tr>
    </w:tbl>
    <w:p>
      <w:pPr>
        <w:ind w:firstLine="420" w:firstLineChars="200"/>
        <w:rPr>
          <w:bCs/>
          <w:lang w:val="zh-CN"/>
        </w:rPr>
      </w:pPr>
      <w:r>
        <w:rPr>
          <w:bCs/>
          <w:lang w:val="zh-CN"/>
        </w:rPr>
        <w:br w:type="page"/>
      </w:r>
    </w:p>
    <w:p>
      <w:pPr>
        <w:pStyle w:val="6"/>
        <w:spacing w:before="120" w:beforeLines="50" w:after="120" w:afterLines="50" w:line="560" w:lineRule="exact"/>
        <w:rPr>
          <w:b w:val="0"/>
          <w:lang w:val="zh-CN"/>
        </w:rPr>
      </w:pPr>
      <w:bookmarkStart w:id="543" w:name="_Toc15491"/>
      <w:bookmarkStart w:id="544" w:name="_Toc12871"/>
      <w:bookmarkStart w:id="545" w:name="_Toc8998"/>
      <w:bookmarkStart w:id="546" w:name="_Toc19518"/>
      <w:bookmarkStart w:id="547" w:name="_Toc28654"/>
      <w:bookmarkStart w:id="548" w:name="_Toc10581"/>
      <w:bookmarkStart w:id="549" w:name="_Toc17703"/>
      <w:bookmarkStart w:id="550" w:name="_Toc112768479"/>
      <w:bookmarkStart w:id="551" w:name="_Toc17617"/>
      <w:r>
        <w:rPr>
          <w:rFonts w:hint="eastAsia"/>
          <w:b w:val="0"/>
          <w:lang w:val="zh-CN"/>
        </w:rPr>
        <w:t>附件</w:t>
      </w:r>
      <w:r>
        <w:rPr>
          <w:b w:val="0"/>
          <w:lang w:val="zh-CN"/>
        </w:rPr>
        <w:t xml:space="preserve">3-2 </w:t>
      </w:r>
      <w:r>
        <w:rPr>
          <w:rFonts w:hint="eastAsia"/>
          <w:b w:val="0"/>
          <w:lang w:val="zh-CN"/>
        </w:rPr>
        <w:t>工商营业执照、组织机构代码证、税务登记证</w:t>
      </w:r>
      <w:bookmarkEnd w:id="543"/>
      <w:bookmarkEnd w:id="544"/>
      <w:bookmarkEnd w:id="545"/>
      <w:bookmarkEnd w:id="546"/>
      <w:bookmarkEnd w:id="547"/>
    </w:p>
    <w:p>
      <w:pPr>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工商营业执照、组织机构代码证、税务登记证</w:t>
      </w:r>
    </w:p>
    <w:bookmarkEnd w:id="548"/>
    <w:bookmarkEnd w:id="549"/>
    <w:bookmarkEnd w:id="550"/>
    <w:bookmarkEnd w:id="551"/>
    <w:p>
      <w:pPr>
        <w:widowControl/>
        <w:ind w:firstLine="420" w:firstLineChars="200"/>
        <w:jc w:val="left"/>
        <w:rPr>
          <w:rFonts w:ascii="Arial" w:hAnsi="Arial" w:eastAsia="黑体"/>
          <w:bCs/>
          <w:sz w:val="28"/>
          <w:szCs w:val="28"/>
        </w:rPr>
      </w:pPr>
      <w:r>
        <w:rPr>
          <w:bCs/>
        </w:rPr>
        <w:br w:type="page"/>
      </w:r>
    </w:p>
    <w:p>
      <w:pPr>
        <w:pStyle w:val="6"/>
        <w:spacing w:before="120" w:beforeLines="50" w:after="120" w:afterLines="50" w:line="560" w:lineRule="exact"/>
        <w:rPr>
          <w:b w:val="0"/>
        </w:rPr>
      </w:pPr>
      <w:bookmarkStart w:id="552" w:name="_Toc32660"/>
      <w:bookmarkStart w:id="553" w:name="_Toc2338"/>
      <w:bookmarkStart w:id="554" w:name="_Toc14325"/>
      <w:bookmarkStart w:id="555" w:name="_Toc16005"/>
      <w:bookmarkStart w:id="556" w:name="_Toc112768480"/>
      <w:bookmarkStart w:id="557" w:name="_Toc4517"/>
      <w:r>
        <w:rPr>
          <w:rFonts w:hint="eastAsia"/>
          <w:b w:val="0"/>
        </w:rPr>
        <w:t>附件</w:t>
      </w:r>
      <w:r>
        <w:rPr>
          <w:b w:val="0"/>
        </w:rPr>
        <w:t xml:space="preserve">3-3 </w:t>
      </w:r>
      <w:r>
        <w:rPr>
          <w:rFonts w:hint="eastAsia"/>
          <w:b w:val="0"/>
        </w:rPr>
        <w:t>法定代表人资格证明书</w:t>
      </w:r>
      <w:bookmarkEnd w:id="552"/>
      <w:bookmarkEnd w:id="553"/>
      <w:bookmarkEnd w:id="554"/>
      <w:bookmarkEnd w:id="555"/>
      <w:bookmarkEnd w:id="556"/>
      <w:bookmarkEnd w:id="557"/>
    </w:p>
    <w:p>
      <w:pPr>
        <w:spacing w:before="120" w:beforeLines="50" w:after="120" w:afterLines="50" w:line="560" w:lineRule="exact"/>
        <w:jc w:val="center"/>
        <w:rPr>
          <w:rFonts w:ascii="黑体" w:hAnsi="黑体" w:eastAsia="黑体"/>
          <w:bCs/>
          <w:sz w:val="36"/>
          <w:szCs w:val="36"/>
        </w:rPr>
      </w:pPr>
      <w:r>
        <w:rPr>
          <w:rFonts w:hint="eastAsia" w:ascii="黑体" w:hAnsi="黑体" w:eastAsia="黑体"/>
          <w:bCs/>
          <w:sz w:val="36"/>
          <w:szCs w:val="36"/>
        </w:rPr>
        <w:t>法定代表人资格证明书</w:t>
      </w:r>
    </w:p>
    <w:p>
      <w:pPr>
        <w:rPr>
          <w:rFonts w:eastAsia="楷体_GB2312"/>
          <w:bCs/>
          <w:sz w:val="28"/>
          <w:szCs w:val="28"/>
        </w:rPr>
      </w:pPr>
    </w:p>
    <w:p>
      <w:pPr>
        <w:ind w:firstLine="560" w:firstLineChars="200"/>
        <w:rPr>
          <w:bCs/>
          <w:sz w:val="28"/>
          <w:szCs w:val="28"/>
        </w:rPr>
      </w:pPr>
      <w:r>
        <w:rPr>
          <w:rFonts w:hint="eastAsia"/>
          <w:bCs/>
          <w:sz w:val="28"/>
          <w:szCs w:val="28"/>
          <w:u w:val="single"/>
        </w:rPr>
        <w:t>（法定代表人姓名）</w:t>
      </w:r>
      <w:r>
        <w:rPr>
          <w:rFonts w:hint="eastAsia"/>
          <w:bCs/>
          <w:sz w:val="28"/>
          <w:szCs w:val="28"/>
        </w:rPr>
        <w:t>系</w:t>
      </w:r>
      <w:r>
        <w:rPr>
          <w:rFonts w:hint="eastAsia"/>
          <w:bCs/>
          <w:sz w:val="28"/>
          <w:szCs w:val="28"/>
          <w:u w:val="single"/>
        </w:rPr>
        <w:t>（报价供应商全称）</w:t>
      </w:r>
      <w:r>
        <w:rPr>
          <w:rFonts w:hint="eastAsia"/>
          <w:bCs/>
          <w:sz w:val="28"/>
          <w:szCs w:val="28"/>
        </w:rPr>
        <w:t>的法定代表人。</w:t>
      </w:r>
    </w:p>
    <w:p>
      <w:pPr>
        <w:ind w:firstLine="560" w:firstLineChars="200"/>
        <w:rPr>
          <w:bCs/>
          <w:sz w:val="28"/>
          <w:szCs w:val="28"/>
        </w:rPr>
      </w:pPr>
    </w:p>
    <w:p>
      <w:pPr>
        <w:ind w:firstLine="560" w:firstLineChars="200"/>
        <w:rPr>
          <w:bCs/>
          <w:sz w:val="28"/>
          <w:szCs w:val="28"/>
        </w:rPr>
      </w:pPr>
      <w:r>
        <w:rPr>
          <w:rFonts w:hint="eastAsia"/>
          <w:bCs/>
          <w:sz w:val="28"/>
          <w:szCs w:val="28"/>
        </w:rPr>
        <w:t>特此证明</w:t>
      </w:r>
    </w:p>
    <w:p>
      <w:pPr>
        <w:ind w:firstLine="560" w:firstLineChars="200"/>
        <w:rPr>
          <w:bCs/>
          <w:sz w:val="28"/>
          <w:szCs w:val="28"/>
        </w:rPr>
      </w:pPr>
      <w:r>
        <w:rPr>
          <w:bCs/>
          <w:sz w:val="28"/>
          <w:szCs w:val="28"/>
        </w:rPr>
        <mc:AlternateContent>
          <mc:Choice Requires="wps">
            <w:drawing>
              <wp:anchor distT="0" distB="0" distL="114300" distR="114300" simplePos="0" relativeHeight="251670528" behindDoc="0" locked="0" layoutInCell="1" allowOverlap="1">
                <wp:simplePos x="0" y="0"/>
                <wp:positionH relativeFrom="column">
                  <wp:posOffset>2899410</wp:posOffset>
                </wp:positionH>
                <wp:positionV relativeFrom="paragraph">
                  <wp:posOffset>61595</wp:posOffset>
                </wp:positionV>
                <wp:extent cx="2189480" cy="1125855"/>
                <wp:effectExtent l="0" t="0" r="20320" b="1714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189480" cy="1125855"/>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（反面）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8.3pt;margin-top:4.85pt;height:88.65pt;width:172.4pt;z-index:251670528;v-text-anchor:middle;mso-width-relative:page;mso-height-relative:page;" fillcolor="#FFFFFF" filled="t" stroked="t" coordsize="21600,21600" o:gfxdata="UEsDBAoAAAAAAIdO4kAAAAAAAAAAAAAAAAAEAAAAZHJzL1BLAwQUAAAACACHTuJAF4zc9dYAAAAJ&#10;AQAADwAAAGRycy9kb3ducmV2LnhtbE2Py07DMBBF90j8gzVI7KgdVNI0xOkCVJZIpHyAEw9JVHsc&#10;xe6DfD3DCpaje3TvmWp39U6ccY5jIA3ZSoFA6oIdqdfwedg/FCBiMmSNC4QavjHCrr69qUxpw4U+&#10;8NykXnAJxdJoGFKaSiljN6A3cRUmJM6+wuxN4nPupZ3Nhcu9k49K5dKbkXhhMBO+DNgdm5PX8L4t&#10;sF9eY6eO+8a/tYuLS55pfX+XqWcQCa/pD4ZffVaHmp3acCIbhdOwfspzRjVsNyA4L1S2BtEyWGwU&#10;yLqS/z+ofwBQSwMEFAAAAAgAh07iQPHZGWZPAgAAogQAAA4AAABkcnMvZTJvRG9jLnhtbK1UzW7U&#10;MBC+I/EOlu80m+0ubKNmq9JVEVL5kQoP4HWcjYXjMWPvJuUB4A04ceHOc+1zMHbSshSQeiAHy+OZ&#10;+Wbmm5mcnvWtYTuFXoMteX404UxZCZW2m5K/f3f5ZMGZD8JWwoBVJb9Rnp8tHz867VyhptCAqRQy&#10;ArG+6FzJmxBckWVeNqoV/gicsqSsAVsRSMRNVqHoCL012XQyeZp1gJVDkMp7el0NSj4i4kMAoa61&#10;VCuQ21bZMKCiMiJQSb7RzvNlyraulQxv6tqrwEzJqdKQTgpC93U8s+WpKDYoXKPlmIJ4SAr3amqF&#10;thT0DmolgmBb1H9AtVoieKjDkYQ2GwpJjFAV+eQeN9eNcCrVQlR7d0e6/3+w8vXuLTJdlfyYMyta&#10;avj+65f9tx/775/ZcaSnc74gq2tHdqF/Dj0NTSrVuyuQHzyzcNEIu1HniNA1SlSUXh49swPXAcdH&#10;kHX3CiqKI7YBElBfYxu5IzYYoVNrbu5ao/rAJD1O88XJbEEqSbo8n84X83mKIYpbd4c+vFDQsngp&#10;OVLvE7zYXfkQ0xHFrUmM5sHo6lIbkwTcrC8Msp2gOblM34j+m5mxrCv5yXw6Hxj4J8QkfX+DiCms&#10;hG+GUBXdopUoWh1orYxuS744dDZ2JDJyN7AY+nU/NmYN1Q1RijAMNq01XRrAT5x1NNQl9x+3AhVn&#10;5qWltpzks1ncgiTM5s+mJOChZn2oEVYSVMllQM4G4SIMu7N1qDcNxRpGwcI5NbPWiebY9SGvMXMa&#10;3cT+uGZxNw7lZPXr17L8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BeM3PXWAAAACQEAAA8AAAAA&#10;AAAAAQAgAAAAIgAAAGRycy9kb3ducmV2LnhtbFBLAQIUABQAAAAIAIdO4kDx2RlmTwIAAKIEAAAO&#10;AAAAAAAAAAEAIAAAACUBAABkcnMvZTJvRG9jLnhtbFBLBQYAAAAABgAGAFkBAADmBQ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（反面）</w:t>
                      </w:r>
                    </w:p>
                  </w:txbxContent>
                </v:textbox>
              </v:shape>
            </w:pict>
          </mc:Fallback>
        </mc:AlternateContent>
      </w:r>
      <w:r>
        <w:rPr>
          <w:bCs/>
        </w:rPr>
        <mc:AlternateContent>
          <mc:Choice Requires="wps">
            <w:drawing>
              <wp:anchor distT="0" distB="0" distL="114300" distR="114300" simplePos="0" relativeHeight="251667456" behindDoc="0" locked="0" layoutInCell="1" allowOverlap="1">
                <wp:simplePos x="0" y="0"/>
                <wp:positionH relativeFrom="column">
                  <wp:posOffset>349885</wp:posOffset>
                </wp:positionH>
                <wp:positionV relativeFrom="paragraph">
                  <wp:posOffset>71755</wp:posOffset>
                </wp:positionV>
                <wp:extent cx="2240915" cy="1125855"/>
                <wp:effectExtent l="12065" t="13970" r="13970" b="1270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rFonts w:ascii="宋体" w:hAnsi="宋体"/>
                                <w:sz w:val="28"/>
                                <w:szCs w:val="28"/>
                              </w:rPr>
                            </w:pPr>
                            <w:r>
                              <w:rPr>
                                <w:rFonts w:hint="eastAsia" w:ascii="宋体" w:hAnsi="宋体"/>
                                <w:sz w:val="28"/>
                                <w:szCs w:val="28"/>
                              </w:rPr>
                              <w:t>（正面）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7.55pt;margin-top:5.65pt;height:88.65pt;width:176.45pt;z-index:251667456;v-text-anchor:middle;mso-width-relative:page;mso-height-relative:page;" fillcolor="#FFFFFF" filled="t" stroked="t" coordsize="21600,21600" o:gfxdata="UEsDBAoAAAAAAIdO4kAAAAAAAAAAAAAAAAAEAAAAZHJzL1BLAwQUAAAACACHTuJANvUrQdQAAAAJ&#10;AQAADwAAAGRycy9kb3ducmV2LnhtbE2PzU7DMBCE70i8g7VI3KhtoJEJcXoAtUckUh7AiZckqn+i&#10;2P0hT9/lBMedGc1+U20u3rETzmmMQYNcCWAYumjH0Gv42m8fFLCUTbDGxYAafjDBpr69qUxp4zl8&#10;4qnJPaOSkEqjYch5KjlP3YDepFWcMJD3HWdvMp1zz+1szlTuHX8UouDejIE+DGbCtwG7Q3P0Gj5e&#10;FPbLe+rEYdv4Xbu4tBRS6/s7KV6BZbzkvzD84hM61MTUxmOwiTkN67WkJOnyCRj5z0LRtpYEpQrg&#10;dcX/L6ivUEsDBBQAAAAIAIdO4kDOKtDWTwIAAKIEAAAOAAAAZHJzL2Uyb0RvYy54bWytVM1u1DAQ&#10;viPxDpbvNJtoA23UbFV2tQip/EiFB/A6zsbC9hjbu0l5AHgDTly481z7HIydtCwFpB7IwfJ4Zr6Z&#10;+WYm5xeDVmQvnJdgapqfzCgRhkMjzbam79+tn5xS4gMzDVNgRE1vhKcXi8ePzntbiQI6UI1wBEGM&#10;r3pb0y4EW2WZ553QzJ+AFQaVLTjNAopumzWO9YiuVVbMZk+zHlxjHXDhPb6uRiWdEN1DAKFtJRcr&#10;4DstTBhRnVAsYEm+k9bTRcq2bQUPb9rWi0BUTbHSkE4MgvdNPLPFOau2jtlO8ikF9pAU7tWkmTQY&#10;9A5qxQIjOyf/gNKSO/DQhhMOOhsLSYxgFfnsHjfXHbMi1YJUe3tHuv9/sPz1/q0jsqnpnBLDNDb8&#10;8PXL4duPw/fPZB7p6a2v0Oraol0YnsOAQ5NK9fYK+AdPDCw7Zrbi0jnoO8EaTC+PntmR64jjI8im&#10;fwUNxmG7AAloaJ2O3CEbBNGxNTd3rRFDIBwfi2I+O8tLSjjq8rwoT8syxWDVrbt1PrwQoEm81NRh&#10;7xM821/5ENNh1a1JjOZByWYtlUqC226WypE9wzlZp29C/81MGdLX9KwsypGBf0LM0vc3iJjCivlu&#10;DNXgLVqxSsuAa6WkrunpsbMyE5GRu5HFMGyGqTEbaG6QUgfjYONa46UD94mSHoe6pv7jjjlBiXpp&#10;sC1n+XwetyAJ8/JZgYI71myONcxwhKopD46SUViGcXd21slth7HGUTBwic1sZaI5dn3Ma8ocRzex&#10;P61Z3I1jOVn9+rUs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29StB1AAAAAkBAAAPAAAAAAAA&#10;AAEAIAAAACIAAABkcnMvZG93bnJldi54bWxQSwECFAAUAAAACACHTuJAzirQ1k8CAACiBAAADgAA&#10;AAAAAAABACAAAAAjAQAAZHJzL2Uyb0RvYy54bWxQSwUGAAAAAAYABgBZAQAA5AU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rFonts w:ascii="宋体" w:hAnsi="宋体"/>
                          <w:sz w:val="28"/>
                          <w:szCs w:val="28"/>
                        </w:rPr>
                      </w:pPr>
                      <w:r>
                        <w:rPr>
                          <w:rFonts w:hint="eastAsia" w:ascii="宋体" w:hAnsi="宋体"/>
                          <w:sz w:val="28"/>
                          <w:szCs w:val="28"/>
                        </w:rPr>
                        <w:t>（正面）</w:t>
                      </w:r>
                    </w:p>
                  </w:txbxContent>
                </v:textbox>
              </v:shape>
            </w:pict>
          </mc:Fallback>
        </mc:AlternateContent>
      </w:r>
    </w:p>
    <w:p>
      <w:pPr>
        <w:rPr>
          <w:bCs/>
          <w:sz w:val="28"/>
          <w:szCs w:val="28"/>
        </w:rPr>
      </w:pPr>
    </w:p>
    <w:p>
      <w:pPr>
        <w:rPr>
          <w:bCs/>
          <w:sz w:val="28"/>
          <w:szCs w:val="28"/>
        </w:rPr>
      </w:pPr>
    </w:p>
    <w:p>
      <w:pPr>
        <w:rPr>
          <w:bCs/>
          <w:sz w:val="28"/>
          <w:szCs w:val="28"/>
        </w:rPr>
      </w:pPr>
    </w:p>
    <w:p>
      <w:pPr>
        <w:rPr>
          <w:bCs/>
          <w:sz w:val="28"/>
          <w:szCs w:val="28"/>
        </w:rPr>
      </w:pPr>
    </w:p>
    <w:p>
      <w:pPr>
        <w:rPr>
          <w:bCs/>
          <w:sz w:val="28"/>
          <w:szCs w:val="28"/>
        </w:rPr>
      </w:pPr>
    </w:p>
    <w:p>
      <w:pPr>
        <w:rPr>
          <w:bCs/>
          <w:sz w:val="28"/>
          <w:szCs w:val="28"/>
        </w:rPr>
      </w:pPr>
    </w:p>
    <w:p>
      <w:pPr>
        <w:ind w:firstLine="560" w:firstLineChars="200"/>
        <w:rPr>
          <w:bCs/>
          <w:sz w:val="28"/>
          <w:szCs w:val="28"/>
        </w:rPr>
      </w:pPr>
      <w:r>
        <w:rPr>
          <w:rFonts w:hint="eastAsia"/>
          <w:bCs/>
          <w:sz w:val="28"/>
          <w:szCs w:val="28"/>
        </w:rPr>
        <w:t>身份证关键信息应当清晰可辨，否则视为无效报价。</w:t>
      </w:r>
    </w:p>
    <w:p>
      <w:pPr>
        <w:ind w:firstLine="4900" w:firstLineChars="1750"/>
        <w:rPr>
          <w:bCs/>
          <w:sz w:val="28"/>
          <w:szCs w:val="28"/>
        </w:rPr>
      </w:pPr>
    </w:p>
    <w:p>
      <w:pPr>
        <w:ind w:firstLine="4900" w:firstLineChars="1750"/>
        <w:rPr>
          <w:bCs/>
          <w:sz w:val="28"/>
          <w:szCs w:val="28"/>
        </w:rPr>
      </w:pPr>
    </w:p>
    <w:p>
      <w:pPr>
        <w:rPr>
          <w:bCs/>
          <w:sz w:val="28"/>
          <w:szCs w:val="28"/>
        </w:rPr>
      </w:pPr>
    </w:p>
    <w:p>
      <w:pPr>
        <w:ind w:firstLine="560" w:firstLineChars="200"/>
        <w:jc w:val="center"/>
        <w:rPr>
          <w:bCs/>
          <w:sz w:val="28"/>
          <w:szCs w:val="28"/>
        </w:rPr>
      </w:pPr>
      <w:r>
        <w:rPr>
          <w:rFonts w:hint="eastAsia"/>
          <w:bCs/>
          <w:sz w:val="28"/>
          <w:szCs w:val="28"/>
        </w:rPr>
        <w:t xml:space="preserve">                   报价供应商全称：（盖章）</w:t>
      </w:r>
    </w:p>
    <w:p>
      <w:pPr>
        <w:jc w:val="left"/>
        <w:rPr>
          <w:bCs/>
          <w:sz w:val="28"/>
          <w:szCs w:val="28"/>
        </w:rPr>
      </w:pPr>
    </w:p>
    <w:p>
      <w:pPr>
        <w:ind w:firstLine="560" w:firstLineChars="200"/>
        <w:jc w:val="center"/>
        <w:rPr>
          <w:bCs/>
          <w:sz w:val="28"/>
          <w:szCs w:val="28"/>
        </w:rPr>
      </w:pPr>
      <w:r>
        <w:rPr>
          <w:bCs/>
          <w:sz w:val="28"/>
          <w:szCs w:val="28"/>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widowControl/>
        <w:ind w:firstLine="420" w:firstLineChars="200"/>
        <w:jc w:val="left"/>
        <w:rPr>
          <w:rFonts w:ascii="Arial" w:hAnsi="Arial" w:eastAsia="黑体"/>
          <w:bCs/>
          <w:sz w:val="28"/>
          <w:szCs w:val="28"/>
          <w:lang w:val="zh-CN"/>
        </w:rPr>
      </w:pPr>
      <w:r>
        <w:rPr>
          <w:bCs/>
          <w:lang w:val="zh-CN"/>
        </w:rPr>
        <w:br w:type="page"/>
      </w:r>
    </w:p>
    <w:p>
      <w:pPr>
        <w:pStyle w:val="6"/>
        <w:spacing w:before="120" w:beforeLines="50" w:after="120" w:afterLines="50" w:line="560" w:lineRule="exact"/>
        <w:rPr>
          <w:b w:val="0"/>
        </w:rPr>
      </w:pPr>
      <w:bookmarkStart w:id="558" w:name="_Toc28875"/>
      <w:bookmarkStart w:id="559" w:name="_Toc13950"/>
      <w:bookmarkStart w:id="560" w:name="_Toc31612"/>
      <w:bookmarkStart w:id="561" w:name="_Toc112768481"/>
      <w:bookmarkStart w:id="562" w:name="_Toc28922"/>
      <w:bookmarkStart w:id="563" w:name="_Toc1880"/>
      <w:r>
        <w:rPr>
          <w:rFonts w:hint="eastAsia"/>
          <w:b w:val="0"/>
        </w:rPr>
        <w:t>附件</w:t>
      </w:r>
      <w:r>
        <w:rPr>
          <w:b w:val="0"/>
        </w:rPr>
        <w:t xml:space="preserve">3-4 </w:t>
      </w:r>
      <w:r>
        <w:rPr>
          <w:rFonts w:hint="eastAsia"/>
          <w:b w:val="0"/>
        </w:rPr>
        <w:t>法定代表人授权书</w:t>
      </w:r>
      <w:bookmarkEnd w:id="558"/>
      <w:bookmarkEnd w:id="559"/>
      <w:bookmarkEnd w:id="560"/>
      <w:bookmarkEnd w:id="561"/>
      <w:bookmarkEnd w:id="562"/>
      <w:bookmarkEnd w:id="563"/>
    </w:p>
    <w:p>
      <w:pPr>
        <w:spacing w:before="120" w:beforeLines="50" w:after="120" w:afterLines="50" w:line="560" w:lineRule="exact"/>
        <w:jc w:val="center"/>
        <w:rPr>
          <w:bCs/>
          <w:sz w:val="28"/>
          <w:szCs w:val="28"/>
        </w:rPr>
      </w:pPr>
      <w:r>
        <w:rPr>
          <w:rFonts w:hint="eastAsia" w:ascii="黑体" w:hAnsi="黑体" w:eastAsia="黑体" w:cs="黑体"/>
          <w:bCs/>
          <w:sz w:val="36"/>
          <w:szCs w:val="36"/>
        </w:rPr>
        <w:t>法定代表人授权书</w:t>
      </w:r>
    </w:p>
    <w:p>
      <w:pPr>
        <w:spacing w:line="560" w:lineRule="exact"/>
        <w:rPr>
          <w:rFonts w:ascii="宋体" w:hAnsi="宋体" w:cs="宋体"/>
          <w:bCs/>
          <w:sz w:val="28"/>
          <w:szCs w:val="28"/>
        </w:rPr>
      </w:pPr>
      <w:r>
        <w:rPr>
          <w:rFonts w:hint="eastAsia" w:ascii="宋体" w:hAnsi="宋体" w:cs="宋体"/>
          <w:bCs/>
          <w:sz w:val="28"/>
          <w:szCs w:val="28"/>
          <w:u w:val="single"/>
        </w:rPr>
        <w:t>（采购机构名称）</w:t>
      </w:r>
      <w:r>
        <w:rPr>
          <w:rFonts w:hint="eastAsia" w:ascii="宋体" w:hAnsi="宋体" w:cs="宋体"/>
          <w:bCs/>
          <w:sz w:val="28"/>
          <w:szCs w:val="28"/>
        </w:rPr>
        <w:t>：</w:t>
      </w:r>
    </w:p>
    <w:p>
      <w:pPr>
        <w:spacing w:line="560" w:lineRule="exact"/>
        <w:ind w:firstLine="560" w:firstLineChars="200"/>
        <w:rPr>
          <w:rFonts w:ascii="宋体" w:hAnsi="宋体" w:cs="宋体"/>
          <w:bCs/>
          <w:sz w:val="28"/>
          <w:szCs w:val="28"/>
        </w:rPr>
      </w:pPr>
      <w:r>
        <w:rPr>
          <w:rFonts w:hint="eastAsia" w:ascii="宋体" w:hAnsi="宋体" w:cs="宋体"/>
          <w:bCs/>
          <w:sz w:val="28"/>
          <w:szCs w:val="28"/>
          <w:u w:val="single"/>
        </w:rPr>
        <w:t>（报价供应商全称）</w:t>
      </w:r>
      <w:r>
        <w:rPr>
          <w:rFonts w:hint="eastAsia" w:ascii="宋体" w:hAnsi="宋体" w:cs="宋体"/>
          <w:bCs/>
          <w:sz w:val="28"/>
          <w:szCs w:val="28"/>
        </w:rPr>
        <w:t>法定代表人</w:t>
      </w:r>
      <w:r>
        <w:rPr>
          <w:rFonts w:hint="eastAsia" w:ascii="宋体" w:hAnsi="宋体" w:cs="宋体"/>
          <w:bCs/>
          <w:sz w:val="28"/>
          <w:szCs w:val="28"/>
          <w:u w:val="single"/>
        </w:rPr>
        <w:t>（姓名、职务）</w:t>
      </w:r>
      <w:r>
        <w:rPr>
          <w:rFonts w:hint="eastAsia" w:ascii="宋体" w:hAnsi="宋体" w:cs="宋体"/>
          <w:bCs/>
          <w:sz w:val="28"/>
          <w:szCs w:val="28"/>
        </w:rPr>
        <w:t>授权</w:t>
      </w:r>
      <w:r>
        <w:rPr>
          <w:rFonts w:hint="eastAsia" w:ascii="宋体" w:hAnsi="宋体" w:cs="宋体"/>
          <w:bCs/>
          <w:sz w:val="28"/>
          <w:szCs w:val="28"/>
          <w:u w:val="single"/>
        </w:rPr>
        <w:t>（授权代表姓名、职务）</w:t>
      </w:r>
      <w:r>
        <w:rPr>
          <w:rFonts w:hint="eastAsia" w:ascii="宋体" w:hAnsi="宋体" w:cs="宋体"/>
          <w:bCs/>
          <w:sz w:val="28"/>
          <w:szCs w:val="28"/>
        </w:rPr>
        <w:t>为全权代表，参加贵部组织的项目编号为</w:t>
      </w:r>
      <w:r>
        <w:rPr>
          <w:rFonts w:hint="eastAsia" w:ascii="宋体" w:hAnsi="宋体" w:cs="宋体"/>
          <w:bCs/>
          <w:sz w:val="28"/>
          <w:szCs w:val="28"/>
          <w:u w:val="single"/>
        </w:rPr>
        <w:t>（项目编号）</w:t>
      </w:r>
      <w:r>
        <w:rPr>
          <w:rFonts w:hint="eastAsia" w:ascii="宋体" w:hAnsi="宋体" w:cs="宋体"/>
          <w:bCs/>
          <w:sz w:val="28"/>
          <w:szCs w:val="28"/>
        </w:rPr>
        <w:t>的</w:t>
      </w:r>
      <w:r>
        <w:rPr>
          <w:rFonts w:hint="eastAsia" w:ascii="宋体" w:hAnsi="宋体" w:cs="宋体"/>
          <w:bCs/>
          <w:sz w:val="28"/>
          <w:szCs w:val="28"/>
          <w:u w:val="single"/>
        </w:rPr>
        <w:t>（项目名称）</w:t>
      </w:r>
      <w:r>
        <w:rPr>
          <w:rFonts w:hint="eastAsia" w:ascii="宋体" w:hAnsi="宋体" w:cs="宋体"/>
          <w:bCs/>
          <w:sz w:val="28"/>
          <w:szCs w:val="28"/>
        </w:rPr>
        <w:t>采购活动，全权处理采购活动中的一切事宜。</w:t>
      </w:r>
    </w:p>
    <w:p>
      <w:pPr>
        <w:spacing w:line="560" w:lineRule="exact"/>
        <w:ind w:firstLine="600"/>
        <w:rPr>
          <w:rFonts w:ascii="宋体" w:hAnsi="宋体" w:cs="宋体"/>
          <w:bCs/>
          <w:sz w:val="28"/>
          <w:szCs w:val="28"/>
        </w:rPr>
      </w:pPr>
    </w:p>
    <w:p>
      <w:pPr>
        <w:spacing w:line="560" w:lineRule="exact"/>
        <w:ind w:left="-2" w:leftChars="-1" w:firstLine="4200" w:firstLineChars="1500"/>
        <w:rPr>
          <w:rFonts w:ascii="宋体" w:hAnsi="宋体" w:cs="宋体"/>
          <w:bCs/>
          <w:sz w:val="28"/>
          <w:szCs w:val="28"/>
        </w:rPr>
      </w:pPr>
      <w:r>
        <w:rPr>
          <w:rFonts w:hint="eastAsia" w:ascii="宋体" w:hAnsi="宋体" w:cs="宋体"/>
          <w:bCs/>
          <w:sz w:val="28"/>
          <w:szCs w:val="28"/>
        </w:rPr>
        <w:t xml:space="preserve">报价供应商全称：（盖章）                            </w:t>
      </w:r>
    </w:p>
    <w:p>
      <w:pPr>
        <w:spacing w:line="560" w:lineRule="exact"/>
        <w:ind w:firstLine="4200" w:firstLineChars="1500"/>
        <w:rPr>
          <w:rFonts w:ascii="宋体" w:hAnsi="宋体" w:cs="宋体"/>
          <w:bCs/>
          <w:sz w:val="28"/>
          <w:szCs w:val="28"/>
        </w:rPr>
      </w:pPr>
      <w:r>
        <w:rPr>
          <w:rFonts w:hint="eastAsia" w:ascii="宋体" w:hAnsi="宋体" w:cs="宋体"/>
          <w:bCs/>
          <w:sz w:val="28"/>
          <w:szCs w:val="28"/>
        </w:rPr>
        <w:t>法定代表人：（签字）</w:t>
      </w:r>
    </w:p>
    <w:p>
      <w:pPr>
        <w:spacing w:line="560" w:lineRule="exact"/>
        <w:ind w:firstLine="4200" w:firstLineChars="1500"/>
        <w:rPr>
          <w:rFonts w:ascii="宋体" w:hAnsi="宋体" w:cs="宋体"/>
          <w:bCs/>
          <w:sz w:val="28"/>
          <w:szCs w:val="28"/>
        </w:rPr>
      </w:pPr>
      <w:r>
        <w:rPr>
          <w:rFonts w:hint="eastAsia" w:ascii="宋体" w:hAnsi="宋体" w:cs="宋体"/>
          <w:bCs/>
          <w:sz w:val="28"/>
          <w:szCs w:val="28"/>
        </w:rPr>
        <w:t>授权代表：（签字）</w:t>
      </w:r>
    </w:p>
    <w:p>
      <w:pPr>
        <w:spacing w:line="560" w:lineRule="exact"/>
        <w:ind w:left="2967" w:leftChars="1413" w:firstLine="560" w:firstLineChars="200"/>
        <w:rPr>
          <w:rFonts w:ascii="宋体" w:hAnsi="宋体" w:cs="宋体"/>
          <w:bCs/>
          <w:sz w:val="28"/>
          <w:szCs w:val="28"/>
        </w:rPr>
      </w:pPr>
      <w:r>
        <w:rPr>
          <w:rFonts w:hint="eastAsia" w:ascii="宋体" w:hAnsi="宋体" w:cs="宋体"/>
          <w:bCs/>
          <w:sz w:val="28"/>
          <w:szCs w:val="28"/>
        </w:rPr>
        <w:t xml:space="preserve">              </w:t>
      </w:r>
      <w:r>
        <w:rPr>
          <w:rFonts w:ascii="宋体" w:hAnsi="宋体" w:cs="宋体"/>
          <w:bCs/>
          <w:sz w:val="28"/>
          <w:szCs w:val="28"/>
        </w:rPr>
        <w:t xml:space="preserve">       </w:t>
      </w:r>
      <w:r>
        <w:rPr>
          <w:rFonts w:hint="eastAsia" w:ascii="宋体" w:hAnsi="宋体" w:cs="宋体"/>
          <w:bCs/>
          <w:sz w:val="28"/>
          <w:szCs w:val="28"/>
        </w:rPr>
        <w:t xml:space="preserve"> </w:t>
      </w:r>
      <w:r>
        <w:rPr>
          <w:rFonts w:hint="eastAsia" w:ascii="宋体" w:hAnsi="宋体" w:cs="宋体"/>
          <w:bCs/>
          <w:sz w:val="28"/>
          <w:szCs w:val="28"/>
          <w:u w:val="single"/>
        </w:rPr>
        <w:t xml:space="preserve">   </w:t>
      </w:r>
      <w:r>
        <w:rPr>
          <w:rFonts w:hint="eastAsia" w:ascii="宋体" w:hAnsi="宋体" w:cs="宋体"/>
          <w:bCs/>
          <w:sz w:val="28"/>
          <w:szCs w:val="28"/>
        </w:rPr>
        <w:t>年</w:t>
      </w:r>
      <w:r>
        <w:rPr>
          <w:rFonts w:hint="eastAsia" w:ascii="宋体" w:hAnsi="宋体" w:cs="宋体"/>
          <w:bCs/>
          <w:sz w:val="28"/>
          <w:szCs w:val="28"/>
          <w:u w:val="single"/>
        </w:rPr>
        <w:t xml:space="preserve">   </w:t>
      </w:r>
      <w:r>
        <w:rPr>
          <w:rFonts w:hint="eastAsia" w:ascii="宋体" w:hAnsi="宋体" w:cs="宋体"/>
          <w:bCs/>
          <w:sz w:val="28"/>
          <w:szCs w:val="28"/>
        </w:rPr>
        <w:t>月</w:t>
      </w:r>
      <w:r>
        <w:rPr>
          <w:rFonts w:hint="eastAsia" w:ascii="宋体" w:hAnsi="宋体" w:cs="宋体"/>
          <w:bCs/>
          <w:sz w:val="28"/>
          <w:szCs w:val="28"/>
          <w:u w:val="single"/>
        </w:rPr>
        <w:t xml:space="preserve">   </w:t>
      </w:r>
      <w:r>
        <w:rPr>
          <w:rFonts w:hint="eastAsia" w:ascii="宋体" w:hAnsi="宋体" w:cs="宋体"/>
          <w:bCs/>
          <w:sz w:val="28"/>
          <w:szCs w:val="28"/>
        </w:rPr>
        <w:t>日</w:t>
      </w:r>
    </w:p>
    <w:p>
      <w:pPr>
        <w:spacing w:line="560" w:lineRule="exact"/>
        <w:ind w:firstLine="560" w:firstLineChars="200"/>
        <w:rPr>
          <w:rFonts w:ascii="宋体" w:hAnsi="宋体" w:cs="宋体"/>
          <w:bCs/>
          <w:sz w:val="28"/>
          <w:szCs w:val="28"/>
        </w:rPr>
      </w:pPr>
      <w:r>
        <w:rPr>
          <w:rFonts w:hint="eastAsia" w:ascii="宋体" w:hAnsi="宋体" w:cs="宋体"/>
          <w:bCs/>
          <w:sz w:val="28"/>
          <w:szCs w:val="28"/>
        </w:rPr>
        <w:t>附：</w:t>
      </w:r>
    </w:p>
    <w:p>
      <w:pPr>
        <w:spacing w:line="560" w:lineRule="exact"/>
        <w:ind w:firstLine="560" w:firstLineChars="200"/>
        <w:rPr>
          <w:rFonts w:ascii="宋体" w:hAnsi="宋体" w:cs="宋体"/>
          <w:bCs/>
          <w:sz w:val="28"/>
          <w:szCs w:val="28"/>
        </w:rPr>
      </w:pPr>
      <w:r>
        <w:rPr>
          <w:rFonts w:hint="eastAsia" w:ascii="宋体" w:hAnsi="宋体" w:cs="宋体"/>
          <w:bCs/>
          <w:sz w:val="28"/>
          <w:szCs w:val="28"/>
        </w:rPr>
        <w:t>授权代表姓名：</w:t>
      </w:r>
      <w:r>
        <w:rPr>
          <w:rFonts w:hint="eastAsia" w:ascii="宋体" w:hAnsi="宋体" w:cs="宋体"/>
          <w:bCs/>
          <w:sz w:val="28"/>
          <w:szCs w:val="28"/>
          <w:u w:val="single"/>
        </w:rPr>
        <w:t xml:space="preserve">         </w:t>
      </w:r>
      <w:r>
        <w:rPr>
          <w:rFonts w:hint="eastAsia" w:ascii="宋体" w:hAnsi="宋体" w:cs="宋体"/>
          <w:bCs/>
          <w:sz w:val="28"/>
          <w:szCs w:val="28"/>
        </w:rPr>
        <w:t xml:space="preserve">     </w:t>
      </w:r>
    </w:p>
    <w:p>
      <w:pPr>
        <w:spacing w:line="560" w:lineRule="exact"/>
        <w:ind w:firstLine="560" w:firstLineChars="200"/>
        <w:rPr>
          <w:rFonts w:ascii="宋体" w:hAnsi="宋体" w:cs="宋体"/>
          <w:bCs/>
          <w:sz w:val="28"/>
          <w:szCs w:val="28"/>
        </w:rPr>
      </w:pPr>
      <w:r>
        <w:rPr>
          <w:rFonts w:hint="eastAsia" w:ascii="宋体" w:hAnsi="宋体" w:cs="宋体"/>
          <w:bCs/>
          <w:sz w:val="28"/>
          <w:szCs w:val="28"/>
        </w:rPr>
        <w:t>职    务：</w:t>
      </w:r>
      <w:r>
        <w:rPr>
          <w:rFonts w:hint="eastAsia" w:ascii="宋体" w:hAnsi="宋体" w:cs="宋体"/>
          <w:bCs/>
          <w:sz w:val="28"/>
          <w:szCs w:val="28"/>
          <w:u w:val="single"/>
        </w:rPr>
        <w:t xml:space="preserve">             </w:t>
      </w:r>
      <w:r>
        <w:rPr>
          <w:rFonts w:hint="eastAsia" w:ascii="宋体" w:hAnsi="宋体" w:cs="宋体"/>
          <w:bCs/>
          <w:sz w:val="28"/>
          <w:szCs w:val="28"/>
        </w:rPr>
        <w:t xml:space="preserve">         移动电话：</w:t>
      </w:r>
      <w:r>
        <w:rPr>
          <w:rFonts w:hint="eastAsia" w:ascii="宋体" w:hAnsi="宋体" w:cs="宋体"/>
          <w:bCs/>
          <w:sz w:val="28"/>
          <w:szCs w:val="28"/>
          <w:u w:val="single"/>
        </w:rPr>
        <w:t xml:space="preserve">           </w:t>
      </w:r>
    </w:p>
    <w:p>
      <w:pPr>
        <w:spacing w:line="560" w:lineRule="exact"/>
        <w:ind w:firstLine="560" w:firstLineChars="200"/>
        <w:rPr>
          <w:rFonts w:ascii="宋体" w:hAnsi="宋体" w:cs="宋体"/>
          <w:bCs/>
          <w:sz w:val="28"/>
          <w:szCs w:val="28"/>
        </w:rPr>
      </w:pPr>
      <w:r>
        <w:rPr>
          <w:rFonts w:hint="eastAsia" w:ascii="宋体" w:hAnsi="宋体" w:cs="宋体"/>
          <w:bCs/>
          <w:sz w:val="28"/>
          <w:szCs w:val="28"/>
        </w:rPr>
        <w:t>传    真：</w:t>
      </w:r>
      <w:r>
        <w:rPr>
          <w:rFonts w:hint="eastAsia" w:ascii="宋体" w:hAnsi="宋体" w:cs="宋体"/>
          <w:bCs/>
          <w:sz w:val="28"/>
          <w:szCs w:val="28"/>
          <w:u w:val="single"/>
        </w:rPr>
        <w:t xml:space="preserve">             </w:t>
      </w:r>
      <w:r>
        <w:rPr>
          <w:rFonts w:hint="eastAsia" w:ascii="宋体" w:hAnsi="宋体" w:cs="宋体"/>
          <w:bCs/>
          <w:sz w:val="28"/>
          <w:szCs w:val="28"/>
        </w:rPr>
        <w:t xml:space="preserve">         邮    编：</w:t>
      </w:r>
      <w:r>
        <w:rPr>
          <w:rFonts w:hint="eastAsia" w:ascii="宋体" w:hAnsi="宋体" w:cs="宋体"/>
          <w:bCs/>
          <w:sz w:val="28"/>
          <w:szCs w:val="28"/>
          <w:u w:val="single"/>
        </w:rPr>
        <w:t xml:space="preserve">           </w:t>
      </w:r>
    </w:p>
    <w:p>
      <w:pPr>
        <w:spacing w:line="560" w:lineRule="exact"/>
        <w:ind w:firstLine="560" w:firstLineChars="200"/>
        <w:rPr>
          <w:rFonts w:ascii="宋体" w:hAnsi="宋体" w:cs="宋体"/>
          <w:bCs/>
          <w:sz w:val="28"/>
          <w:szCs w:val="28"/>
        </w:rPr>
      </w:pPr>
      <w:r>
        <w:rPr>
          <w:rFonts w:hint="eastAsia" w:ascii="宋体" w:hAnsi="宋体" w:cs="宋体"/>
          <w:bCs/>
          <w:sz w:val="28"/>
          <w:szCs w:val="28"/>
        </w:rPr>
        <w:t>通讯地址：</w:t>
      </w:r>
      <w:r>
        <w:rPr>
          <w:rFonts w:hint="eastAsia" w:ascii="宋体" w:hAnsi="宋体" w:cs="宋体"/>
          <w:bCs/>
          <w:sz w:val="28"/>
          <w:szCs w:val="28"/>
          <w:u w:val="single"/>
        </w:rPr>
        <w:t xml:space="preserve">             </w:t>
      </w:r>
    </w:p>
    <w:p>
      <w:pPr>
        <w:spacing w:line="560" w:lineRule="exact"/>
        <w:ind w:firstLine="560" w:firstLineChars="200"/>
        <w:rPr>
          <w:rFonts w:ascii="宋体" w:hAnsi="宋体" w:cs="宋体"/>
          <w:bCs/>
          <w:sz w:val="28"/>
          <w:szCs w:val="28"/>
        </w:rPr>
      </w:pPr>
      <w:r>
        <w:rPr>
          <w:rFonts w:hint="eastAsia" w:ascii="宋体" w:hAnsi="宋体" w:cs="宋体"/>
          <w:bCs/>
          <w:sz w:val="28"/>
          <w:szCs w:val="28"/>
        </w:rPr>
        <mc:AlternateContent>
          <mc:Choice Requires="wps">
            <w:drawing>
              <wp:anchor distT="0" distB="0" distL="114300" distR="114300" simplePos="0" relativeHeight="251672576" behindDoc="0" locked="0" layoutInCell="1" allowOverlap="1">
                <wp:simplePos x="0" y="0"/>
                <wp:positionH relativeFrom="column">
                  <wp:posOffset>2879090</wp:posOffset>
                </wp:positionH>
                <wp:positionV relativeFrom="paragraph">
                  <wp:posOffset>115570</wp:posOffset>
                </wp:positionV>
                <wp:extent cx="2240915" cy="1081405"/>
                <wp:effectExtent l="0" t="0" r="26035" b="2349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240915" cy="1081405"/>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（反面）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6.7pt;margin-top:9.1pt;height:85.15pt;width:176.45pt;z-index:251672576;v-text-anchor:middle;mso-width-relative:page;mso-height-relative:page;" fillcolor="#FFFFFF" filled="t" stroked="t" coordsize="21600,21600" o:gfxdata="UEsDBAoAAAAAAIdO4kAAAAAAAAAAAAAAAAAEAAAAZHJzL1BLAwQUAAAACACHTuJAWwEBzdYAAAAK&#10;AQAADwAAAGRycy9kb3ducmV2LnhtbE2Py07DMBBF90j8gzVI7KidPiIT4nQBapdIpHyAEw9JVHsc&#10;xe6DfH3dFSxn7tGdM+X26iw74xQGTwqyhQCG1HozUKfg+7B7kcBC1GS09YQKfjHAtnp8KHVh/IW+&#10;8FzHjqUSCoVW0Mc4FpyHtkenw8KPSCn78ZPTMY1Tx82kL6ncWb4UIudOD5Qu9HrE9x7bY31yCj5f&#10;JXbzR2jFcVe7fTPbMOeZUs9PmXgDFvEa/2C46yd1qJJT409kArMK1pvVOqEpkEtgCZAiXwFr7gu5&#10;AV6V/P8L1Q1QSwMEFAAAAAgAh07iQJohRF1OAgAAogQAAA4AAABkcnMvZTJvRG9jLnhtbK1UzW7U&#10;MBC+I/EOlu80P9qFNmq2KrtahFR+pMIDeB1nY2F7jO3dpDwAvAEnLtx5rn0Oxk5algJSD+RgeTwz&#10;38x8M5Pzi0ErshfOSzA1LU5ySoTh0Eizren7d+snp5T4wEzDFBhR0xvh6cXi8aPz3laihA5UIxxB&#10;EOOr3ta0C8FWWeZ5JzTzJ2CFQWULTrOAottmjWM9omuVlXn+NOvBNdYBF97j62pU0gnRPQQQ2lZy&#10;sQK+08KEEdUJxQKW5DtpPV2kbNtW8PCmbb0IRNUUKw3pxCB438QzW5yzauuY7SSfUmAPSeFeTZpJ&#10;g0HvoFYsMLJz8g8oLbkDD2044aCzsZDECFZR5Pe4ue6YFakWpNrbO9L9/4Plr/dvHZFNTUtKDNPY&#10;8MPXL4dvPw7fP5My0tNbX6HVtUW7MDyHAYcmlertFfAPnhhYdsxsxaVz0HeCNZheET2zI9cRx0eQ&#10;Tf8KGozDdgES0NA6HblDNgiiY2tu7lojhkA4PpblLD8r5pRw1BX5aTHL5ykGq27drfPhhQBN4qWm&#10;Dnuf4Nn+yoeYDqtuTWI0D0o2a6lUEtx2s1SO7BnOyTp9E/pvZsqQvqZn83I+MvBPiDx9f4OIKayY&#10;78ZQDd6iFau0DLhWSuqanh47KzMRGbkbWQzDZpgas4HmBil1MA42rjVeOnCfKOlxqGvqP+6YE5So&#10;lwbbclbMZnELkjCbPytRcMeazbGGGY5QNeXBUTIKyzDuzs46ue0w1jgKBi6xma1MNMeuj3lNmePo&#10;JvanNYu7cSwnq1+/ls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WwEBzdYAAAAKAQAADwAAAAAA&#10;AAABACAAAAAiAAAAZHJzL2Rvd25yZXYueG1sUEsBAhQAFAAAAAgAh07iQJohRF1OAgAAogQAAA4A&#10;AAAAAAAAAQAgAAAAJQEAAGRycy9lMm9Eb2MueG1sUEsFBgAAAAAGAAYAWQEAAOUFA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（反面）</w:t>
                      </w:r>
                    </w:p>
                  </w:txbxContent>
                </v:textbox>
              </v:shape>
            </w:pict>
          </mc:Fallback>
        </mc:AlternateContent>
      </w:r>
      <w:r>
        <w:rPr>
          <w:rFonts w:hint="eastAsia" w:ascii="宋体" w:hAnsi="宋体" w:cs="宋体"/>
          <w:bCs/>
          <w:sz w:val="28"/>
          <w:szCs w:val="28"/>
        </w:rPr>
        <mc:AlternateContent>
          <mc:Choice Requires="wps">
            <w:drawing>
              <wp:anchor distT="0" distB="0" distL="114300" distR="114300" simplePos="0" relativeHeight="251671552" behindDoc="0" locked="0" layoutInCell="1" allowOverlap="1">
                <wp:simplePos x="0" y="0"/>
                <wp:positionH relativeFrom="column">
                  <wp:posOffset>392430</wp:posOffset>
                </wp:positionH>
                <wp:positionV relativeFrom="paragraph">
                  <wp:posOffset>116205</wp:posOffset>
                </wp:positionV>
                <wp:extent cx="2240915" cy="1081405"/>
                <wp:effectExtent l="0" t="0" r="26035" b="2349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240915" cy="1081405"/>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（正面）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30.9pt;margin-top:9.15pt;height:85.15pt;width:176.45pt;z-index:251671552;v-text-anchor:middle;mso-width-relative:page;mso-height-relative:page;" fillcolor="#FFFFFF" filled="t" stroked="t" coordsize="21600,21600" o:gfxdata="UEsDBAoAAAAAAIdO4kAAAAAAAAAAAAAAAAAEAAAAZHJzL1BLAwQUAAAACACHTuJAI0m1mtUAAAAJ&#10;AQAADwAAAGRycy9kb3ducmV2LnhtbE2PzU7DMBCE70i8g7VI3KhjWoUQ4vRAVY5IBB7AiZckqr2O&#10;YveHPD3bExxnZjXzbbW9eCdOOMcxkAa1ykAgdcGO1Gv4+tw/FCBiMmSNC4QafjDCtr69qUxpw5k+&#10;8NSkXnAJxdJoGFKaSiljN6A3cRUmJM6+w+xNYjn30s7mzOXeyccsy6U3I/HCYCZ8HbA7NEev4f25&#10;wH7ZxS477Bv/1i4uLrnS+v5OZS8gEl7S3zFc8RkdamZqw5FsFE5Drpg8sV+sQXC+UZsnEO3VKHKQ&#10;dSX/f1D/AlBLAwQUAAAACACHTuJArYXNvU8CAACiBAAADgAAAGRycy9lMm9Eb2MueG1srVTNbtQw&#10;EL4j8Q6W7zTJahe6UbNV6aoIqfxIhQfwOs7Gwn+MvZuUB4A34MSFO8/V52Bsb5eocOiBHCJPZvzN&#10;N9/M5Ox81IrsBXhpTUOrk5ISYbhtpdk29OOHq2enlPjATMuUNaKht8LT89XTJ2eDq8XM9la1AgiC&#10;GF8PrqF9CK4uCs97oZk/sU4YdHYWNAtowrZogQ2IrlUxK8vnxWChdWC58B6/rrOTHhDhMYC26yQX&#10;a8t3WpiQUUEoFrAk30vn6Sqx7TrBw7uu8yIQ1VCsNKQ3JsHzJr6L1Rmrt8BcL/mBAnsMhQc1aSYN&#10;Jj1CrVlgZAfyLygtOVhvu3DCrS5yIUkRrKIqH2hz0zMnUi0otXdH0f3/g+Vv9++ByBYngRLDNDb8&#10;7vu3ux+/7n5+JVWUZ3C+xqgbh3FhfGnHGBpL9e7a8k+eGHvZM7MVFwB26AVrkV66WUyuZhwfQTbD&#10;G9tiHrYLNgGNHegIiGoQRMfW3B5bI8ZAOH6czeblslpQwtFXlafVvFxEdgWr76878OGVsJrEQ0MB&#10;e5/g2f7ahxx6H5LoWyXbK6lUMmC7uVRA9gzn5Co9B3Q/DVOGDA1dLmaLrMDU56cQZXr+BREprJnv&#10;c6oWTzGK1VoGXCsldUNPp5eVwSKjkFG7rGIYN+OhMRvb3qKkYPNg41rjobfwhZIBh7qh/vOOgaBE&#10;vTbYlmU1n8ctSMZ88WKGBkw9m6mHGY5QDeUBKMnGZci7s3Mgtz3myqNg7AU2s5NJ5kg28zowx9FN&#10;jTqsWdyNqZ2i/vxaV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I0m1mtUAAAAJAQAADwAAAAAA&#10;AAABACAAAAAiAAAAZHJzL2Rvd25yZXYueG1sUEsBAhQAFAAAAAgAh07iQK2Fzb1PAgAAogQAAA4A&#10;AAAAAAAAAQAgAAAAJAEAAGRycy9lMm9Eb2MueG1sUEsFBgAAAAAGAAYAWQEAAOUFA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（正面）</w:t>
                      </w:r>
                    </w:p>
                  </w:txbxContent>
                </v:textbox>
              </v:shape>
            </w:pict>
          </mc:Fallback>
        </mc:AlternateContent>
      </w:r>
    </w:p>
    <w:p>
      <w:pPr>
        <w:spacing w:line="560" w:lineRule="exact"/>
        <w:ind w:firstLine="573"/>
        <w:rPr>
          <w:rFonts w:ascii="宋体" w:hAnsi="宋体" w:cs="宋体"/>
          <w:bCs/>
          <w:sz w:val="28"/>
          <w:szCs w:val="28"/>
        </w:rPr>
      </w:pPr>
    </w:p>
    <w:p>
      <w:pPr>
        <w:spacing w:line="560" w:lineRule="exact"/>
        <w:ind w:firstLine="573"/>
        <w:rPr>
          <w:rFonts w:ascii="宋体" w:hAnsi="宋体" w:cs="宋体"/>
          <w:bCs/>
          <w:sz w:val="28"/>
          <w:szCs w:val="28"/>
        </w:rPr>
      </w:pPr>
    </w:p>
    <w:p>
      <w:pPr>
        <w:ind w:firstLine="420" w:firstLineChars="150"/>
        <w:rPr>
          <w:rFonts w:ascii="宋体" w:hAnsi="宋体" w:cs="宋体"/>
          <w:bCs/>
          <w:sz w:val="28"/>
          <w:szCs w:val="28"/>
        </w:rPr>
      </w:pPr>
    </w:p>
    <w:p>
      <w:pPr>
        <w:ind w:firstLine="560" w:firstLineChars="200"/>
        <w:rPr>
          <w:rFonts w:ascii="宋体" w:hAnsi="宋体" w:cs="宋体"/>
          <w:bCs/>
          <w:sz w:val="28"/>
          <w:szCs w:val="28"/>
        </w:rPr>
      </w:pPr>
      <w:r>
        <w:rPr>
          <w:rFonts w:hint="eastAsia" w:ascii="宋体" w:hAnsi="宋体" w:cs="宋体"/>
          <w:bCs/>
          <w:sz w:val="28"/>
          <w:szCs w:val="28"/>
        </w:rPr>
        <w:t>身份证关键信息应当清晰可辨，否则</w:t>
      </w:r>
      <w:r>
        <w:rPr>
          <w:rFonts w:hint="eastAsia"/>
          <w:bCs/>
          <w:sz w:val="28"/>
          <w:szCs w:val="28"/>
        </w:rPr>
        <w:t>视为无效</w:t>
      </w:r>
      <w:r>
        <w:rPr>
          <w:rFonts w:hint="eastAsia" w:ascii="宋体" w:hAnsi="宋体" w:cs="宋体"/>
          <w:bCs/>
          <w:sz w:val="28"/>
          <w:szCs w:val="28"/>
        </w:rPr>
        <w:t>报价。</w:t>
      </w:r>
    </w:p>
    <w:p>
      <w:pPr>
        <w:spacing w:line="560" w:lineRule="exact"/>
        <w:ind w:firstLine="560" w:firstLineChars="200"/>
        <w:rPr>
          <w:rFonts w:ascii="黑体" w:hAnsi="黑体" w:eastAsia="黑体" w:cs="宋体"/>
          <w:bCs/>
          <w:sz w:val="28"/>
          <w:szCs w:val="28"/>
        </w:rPr>
      </w:pPr>
      <w:r>
        <w:rPr>
          <w:rFonts w:hint="eastAsia" w:ascii="黑体" w:hAnsi="黑体" w:eastAsia="黑体" w:cs="宋体"/>
          <w:bCs/>
          <w:sz w:val="28"/>
          <w:szCs w:val="28"/>
        </w:rPr>
        <w:t>注：授权书后应当附授权代表在报价前4个月内（不含报价当月）连续3个月由报价供应商缴纳社保证明材料。</w:t>
      </w:r>
    </w:p>
    <w:p>
      <w:pPr>
        <w:jc w:val="center"/>
        <w:rPr>
          <w:bCs/>
          <w:lang w:val="zh-CN"/>
        </w:rPr>
      </w:pPr>
    </w:p>
    <w:p>
      <w:pPr>
        <w:jc w:val="center"/>
        <w:rPr>
          <w:bCs/>
          <w:lang w:val="zh-CN"/>
        </w:rPr>
      </w:pPr>
    </w:p>
    <w:p>
      <w:pPr>
        <w:pStyle w:val="6"/>
        <w:spacing w:before="120" w:beforeLines="50" w:after="120" w:afterLines="50" w:line="560" w:lineRule="exact"/>
        <w:rPr>
          <w:b w:val="0"/>
        </w:rPr>
      </w:pPr>
      <w:bookmarkStart w:id="564" w:name="_Toc18413"/>
      <w:bookmarkStart w:id="565" w:name="_Toc507"/>
      <w:bookmarkStart w:id="566" w:name="_Toc112768482"/>
      <w:bookmarkStart w:id="567" w:name="_Toc12516"/>
      <w:bookmarkStart w:id="568" w:name="_Toc29739"/>
      <w:bookmarkStart w:id="569" w:name="_Toc28052"/>
      <w:r>
        <w:rPr>
          <w:rFonts w:hint="eastAsia"/>
          <w:b w:val="0"/>
        </w:rPr>
        <w:t>附件</w:t>
      </w:r>
      <w:r>
        <w:rPr>
          <w:b w:val="0"/>
        </w:rPr>
        <w:t xml:space="preserve">3-5 </w:t>
      </w:r>
      <w:r>
        <w:rPr>
          <w:rFonts w:hint="eastAsia"/>
          <w:b w:val="0"/>
        </w:rPr>
        <w:t>供应商承诺声明</w:t>
      </w:r>
      <w:bookmarkEnd w:id="564"/>
      <w:bookmarkEnd w:id="565"/>
      <w:bookmarkEnd w:id="566"/>
      <w:bookmarkEnd w:id="567"/>
      <w:bookmarkEnd w:id="568"/>
      <w:bookmarkEnd w:id="569"/>
    </w:p>
    <w:p>
      <w:pPr>
        <w:autoSpaceDE w:val="0"/>
        <w:autoSpaceDN w:val="0"/>
        <w:adjustRightInd w:val="0"/>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供应商承诺声明</w:t>
      </w:r>
    </w:p>
    <w:p>
      <w:pPr>
        <w:tabs>
          <w:tab w:val="left" w:pos="771"/>
        </w:tabs>
        <w:spacing w:line="560" w:lineRule="exact"/>
        <w:rPr>
          <w:rFonts w:ascii="宋体" w:hAnsi="宋体"/>
          <w:bCs/>
          <w:sz w:val="28"/>
          <w:szCs w:val="28"/>
        </w:rPr>
      </w:pPr>
      <w:r>
        <w:rPr>
          <w:rFonts w:ascii="宋体" w:hAnsi="宋体"/>
          <w:bCs/>
          <w:sz w:val="28"/>
          <w:szCs w:val="28"/>
          <w:u w:val="single"/>
        </w:rPr>
        <w:t>（采购机构名称）</w:t>
      </w:r>
      <w:r>
        <w:rPr>
          <w:rFonts w:ascii="宋体" w:hAnsi="宋体"/>
          <w:bCs/>
          <w:sz w:val="28"/>
          <w:szCs w:val="28"/>
        </w:rPr>
        <w:t>：</w:t>
      </w:r>
    </w:p>
    <w:p>
      <w:pPr>
        <w:tabs>
          <w:tab w:val="left" w:pos="771"/>
        </w:tabs>
        <w:spacing w:line="560" w:lineRule="exact"/>
        <w:ind w:firstLine="560" w:firstLineChars="200"/>
        <w:rPr>
          <w:rFonts w:ascii="宋体" w:hAnsi="宋体"/>
          <w:bCs/>
          <w:sz w:val="28"/>
          <w:szCs w:val="28"/>
        </w:rPr>
      </w:pPr>
      <w:r>
        <w:rPr>
          <w:rFonts w:hint="eastAsia" w:ascii="宋体" w:hAnsi="宋体"/>
          <w:bCs/>
          <w:sz w:val="28"/>
          <w:szCs w:val="28"/>
        </w:rPr>
        <w:t>我单位自愿参加</w:t>
      </w:r>
      <w:r>
        <w:rPr>
          <w:rFonts w:hint="eastAsia"/>
          <w:bCs/>
          <w:sz w:val="28"/>
          <w:szCs w:val="28"/>
        </w:rPr>
        <w:t>贵部组织的（</w:t>
      </w:r>
      <w:r>
        <w:rPr>
          <w:rFonts w:hint="eastAsia"/>
          <w:bCs/>
          <w:sz w:val="28"/>
          <w:szCs w:val="28"/>
          <w:u w:val="single"/>
        </w:rPr>
        <w:t>项目名称</w:t>
      </w:r>
      <w:r>
        <w:rPr>
          <w:rFonts w:hint="eastAsia"/>
          <w:bCs/>
          <w:sz w:val="28"/>
          <w:szCs w:val="28"/>
        </w:rPr>
        <w:t>）、（</w:t>
      </w:r>
      <w:r>
        <w:rPr>
          <w:rFonts w:hint="eastAsia"/>
          <w:bCs/>
          <w:sz w:val="28"/>
          <w:szCs w:val="28"/>
          <w:u w:val="single"/>
        </w:rPr>
        <w:t>项目编号</w:t>
      </w:r>
      <w:r>
        <w:rPr>
          <w:rFonts w:hint="eastAsia"/>
          <w:bCs/>
          <w:sz w:val="28"/>
          <w:szCs w:val="28"/>
        </w:rPr>
        <w:t>）采购活动</w:t>
      </w:r>
      <w:r>
        <w:rPr>
          <w:rFonts w:hint="eastAsia" w:ascii="宋体" w:hAnsi="宋体"/>
          <w:bCs/>
          <w:sz w:val="28"/>
          <w:szCs w:val="28"/>
        </w:rPr>
        <w:t>，承诺声明如下：</w:t>
      </w:r>
    </w:p>
    <w:p>
      <w:pPr>
        <w:tabs>
          <w:tab w:val="left" w:pos="771"/>
        </w:tabs>
        <w:spacing w:line="560" w:lineRule="exact"/>
        <w:ind w:firstLine="560" w:firstLineChars="200"/>
        <w:rPr>
          <w:rFonts w:ascii="黑体" w:hAnsi="黑体" w:eastAsia="黑体"/>
          <w:bCs/>
          <w:sz w:val="28"/>
          <w:szCs w:val="28"/>
        </w:rPr>
      </w:pPr>
      <w:r>
        <w:rPr>
          <w:rFonts w:hint="eastAsia" w:ascii="黑体" w:hAnsi="黑体" w:eastAsia="黑体"/>
          <w:bCs/>
          <w:sz w:val="28"/>
          <w:szCs w:val="28"/>
        </w:rPr>
        <w:t>一、供应商诚信承诺</w:t>
      </w:r>
    </w:p>
    <w:p>
      <w:pPr>
        <w:tabs>
          <w:tab w:val="left" w:pos="771"/>
        </w:tabs>
        <w:spacing w:line="560" w:lineRule="exact"/>
        <w:ind w:firstLine="560" w:firstLineChars="200"/>
        <w:rPr>
          <w:rFonts w:ascii="宋体" w:hAnsi="宋体"/>
          <w:bCs/>
          <w:sz w:val="28"/>
          <w:szCs w:val="28"/>
        </w:rPr>
      </w:pPr>
      <w:r>
        <w:rPr>
          <w:rFonts w:ascii="宋体" w:hAnsi="宋体"/>
          <w:bCs/>
          <w:sz w:val="28"/>
          <w:szCs w:val="28"/>
        </w:rPr>
        <w:t>1.如实编写</w:t>
      </w:r>
      <w:r>
        <w:rPr>
          <w:rFonts w:hint="eastAsia" w:ascii="宋体" w:hAnsi="宋体"/>
          <w:bCs/>
          <w:sz w:val="28"/>
          <w:szCs w:val="28"/>
        </w:rPr>
        <w:t>报价文件，对报价文件中提供的文件材料、图片影像、财务数据、资产情况及相应证明等材料的真实性、完整性、准确性，承担相应的法律责任。</w:t>
      </w:r>
    </w:p>
    <w:p>
      <w:pPr>
        <w:widowControl/>
        <w:spacing w:line="560" w:lineRule="exact"/>
        <w:ind w:firstLine="560" w:firstLineChars="200"/>
        <w:rPr>
          <w:rFonts w:ascii="宋体" w:hAnsi="宋体"/>
          <w:bCs/>
          <w:sz w:val="28"/>
          <w:szCs w:val="28"/>
          <w:lang w:val="zh-CN"/>
        </w:rPr>
      </w:pPr>
      <w:r>
        <w:rPr>
          <w:rFonts w:ascii="宋体" w:hAnsi="宋体"/>
          <w:bCs/>
          <w:sz w:val="28"/>
          <w:szCs w:val="28"/>
        </w:rPr>
        <w:t>2.</w:t>
      </w:r>
      <w:r>
        <w:rPr>
          <w:rFonts w:hint="eastAsia" w:ascii="宋体" w:hAnsi="宋体"/>
          <w:bCs/>
          <w:sz w:val="28"/>
          <w:szCs w:val="28"/>
        </w:rPr>
        <w:t>因单位转制、兼并、股改等特殊情况，无法提供原始材料、财务数据、资产情况等，造成单位信息难以确认时，自愿放弃参加军队采购活动。</w:t>
      </w:r>
    </w:p>
    <w:p>
      <w:pPr>
        <w:tabs>
          <w:tab w:val="left" w:pos="771"/>
        </w:tabs>
        <w:spacing w:line="560" w:lineRule="exact"/>
        <w:ind w:firstLine="560" w:firstLineChars="200"/>
        <w:rPr>
          <w:rFonts w:ascii="宋体" w:hAnsi="宋体"/>
          <w:bCs/>
          <w:sz w:val="28"/>
          <w:szCs w:val="28"/>
        </w:rPr>
      </w:pPr>
      <w:r>
        <w:rPr>
          <w:rFonts w:ascii="宋体" w:hAnsi="宋体"/>
          <w:bCs/>
          <w:sz w:val="28"/>
          <w:szCs w:val="28"/>
          <w:lang w:val="zh-CN"/>
        </w:rPr>
        <w:t>3.</w:t>
      </w:r>
      <w:r>
        <w:rPr>
          <w:rFonts w:hint="eastAsia" w:ascii="宋体" w:hAnsi="宋体"/>
          <w:bCs/>
          <w:sz w:val="28"/>
          <w:szCs w:val="28"/>
        </w:rPr>
        <w:t>在提供报价文件或现场核查时，如存在伪造文件材料，提供虚假图片影像、业绩合同、材料数据等，造假或篡改相关数据及资产等情况，自愿放弃成交资格并无条件接受相应处罚。</w:t>
      </w:r>
    </w:p>
    <w:p>
      <w:pPr>
        <w:tabs>
          <w:tab w:val="left" w:pos="771"/>
        </w:tabs>
        <w:spacing w:line="560" w:lineRule="exact"/>
        <w:ind w:firstLine="560" w:firstLineChars="200"/>
        <w:rPr>
          <w:rFonts w:ascii="宋体" w:hAnsi="宋体"/>
          <w:bCs/>
          <w:sz w:val="28"/>
          <w:szCs w:val="28"/>
        </w:rPr>
      </w:pPr>
      <w:r>
        <w:rPr>
          <w:rFonts w:hint="eastAsia" w:ascii="黑体" w:hAnsi="黑体" w:eastAsia="黑体"/>
          <w:bCs/>
          <w:sz w:val="28"/>
          <w:szCs w:val="28"/>
        </w:rPr>
        <w:t>二、保密承诺</w:t>
      </w:r>
    </w:p>
    <w:p>
      <w:pPr>
        <w:autoSpaceDE w:val="0"/>
        <w:autoSpaceDN w:val="0"/>
        <w:adjustRightInd w:val="0"/>
        <w:spacing w:line="560" w:lineRule="exact"/>
        <w:ind w:firstLine="560" w:firstLineChars="200"/>
        <w:rPr>
          <w:rFonts w:ascii="宋体" w:hAnsi="宋体"/>
          <w:bCs/>
          <w:sz w:val="28"/>
          <w:szCs w:val="28"/>
          <w:lang w:val="zh-CN"/>
        </w:rPr>
      </w:pPr>
      <w:r>
        <w:rPr>
          <w:rFonts w:ascii="宋体" w:hAnsi="宋体"/>
          <w:bCs/>
          <w:sz w:val="28"/>
          <w:szCs w:val="28"/>
          <w:lang w:val="zh-CN"/>
        </w:rPr>
        <w:t>1.严格遵守国家和军队的保密法律法规，履行保密义务。</w:t>
      </w:r>
    </w:p>
    <w:p>
      <w:pPr>
        <w:autoSpaceDE w:val="0"/>
        <w:autoSpaceDN w:val="0"/>
        <w:adjustRightInd w:val="0"/>
        <w:spacing w:line="560" w:lineRule="exact"/>
        <w:ind w:firstLine="560" w:firstLineChars="200"/>
        <w:rPr>
          <w:rFonts w:ascii="宋体" w:hAnsi="宋体"/>
          <w:bCs/>
          <w:sz w:val="28"/>
          <w:szCs w:val="28"/>
          <w:lang w:val="zh-CN"/>
        </w:rPr>
      </w:pPr>
      <w:r>
        <w:rPr>
          <w:rFonts w:ascii="宋体" w:hAnsi="宋体"/>
          <w:bCs/>
          <w:sz w:val="28"/>
          <w:szCs w:val="28"/>
          <w:lang w:val="zh-CN"/>
        </w:rPr>
        <w:t>2.不以任何方式泄露或传播本次采购项目相关信息。</w:t>
      </w:r>
    </w:p>
    <w:p>
      <w:pPr>
        <w:autoSpaceDE w:val="0"/>
        <w:autoSpaceDN w:val="0"/>
        <w:adjustRightInd w:val="0"/>
        <w:spacing w:line="560" w:lineRule="exact"/>
        <w:ind w:firstLine="560" w:firstLineChars="200"/>
        <w:rPr>
          <w:rFonts w:ascii="宋体" w:hAnsi="宋体"/>
          <w:bCs/>
          <w:sz w:val="28"/>
          <w:szCs w:val="28"/>
          <w:lang w:val="zh-CN"/>
        </w:rPr>
      </w:pPr>
      <w:r>
        <w:rPr>
          <w:rFonts w:ascii="宋体" w:hAnsi="宋体"/>
          <w:bCs/>
          <w:sz w:val="28"/>
          <w:szCs w:val="28"/>
          <w:lang w:val="zh-CN"/>
        </w:rPr>
        <w:t>3.不违规记录、存储、复制本次采购项目相关信息。</w:t>
      </w:r>
    </w:p>
    <w:p>
      <w:pPr>
        <w:autoSpaceDE w:val="0"/>
        <w:autoSpaceDN w:val="0"/>
        <w:adjustRightInd w:val="0"/>
        <w:spacing w:line="560" w:lineRule="exact"/>
        <w:ind w:firstLine="560" w:firstLineChars="200"/>
        <w:rPr>
          <w:rFonts w:ascii="宋体" w:hAnsi="宋体"/>
          <w:bCs/>
          <w:sz w:val="28"/>
          <w:szCs w:val="28"/>
          <w:lang w:val="zh-CN"/>
        </w:rPr>
      </w:pPr>
      <w:r>
        <w:rPr>
          <w:rFonts w:ascii="宋体" w:hAnsi="宋体"/>
          <w:bCs/>
          <w:sz w:val="28"/>
          <w:szCs w:val="28"/>
          <w:lang w:val="zh-CN"/>
        </w:rPr>
        <w:t>4.谈判文件以及相关技术文件专室放置、专盘存储、专人管理。</w:t>
      </w:r>
    </w:p>
    <w:p>
      <w:pPr>
        <w:tabs>
          <w:tab w:val="left" w:pos="771"/>
        </w:tabs>
        <w:spacing w:line="560" w:lineRule="exact"/>
        <w:ind w:firstLine="560" w:firstLineChars="200"/>
        <w:rPr>
          <w:rFonts w:ascii="宋体" w:hAnsi="宋体"/>
          <w:bCs/>
          <w:sz w:val="28"/>
          <w:szCs w:val="28"/>
        </w:rPr>
      </w:pPr>
      <w:r>
        <w:rPr>
          <w:rFonts w:ascii="宋体" w:hAnsi="宋体"/>
          <w:bCs/>
          <w:sz w:val="28"/>
          <w:szCs w:val="28"/>
          <w:lang w:val="zh-CN"/>
        </w:rPr>
        <w:t>5.未经采购机构审查批准，不得擅自在互联网、通讯媒体等发表涉及此次采购项目相关</w:t>
      </w:r>
      <w:r>
        <w:rPr>
          <w:rFonts w:hint="eastAsia" w:ascii="宋体" w:hAnsi="宋体"/>
          <w:bCs/>
          <w:sz w:val="28"/>
          <w:szCs w:val="28"/>
          <w:lang w:val="zh-CN"/>
        </w:rPr>
        <w:t>信息</w:t>
      </w:r>
      <w:r>
        <w:rPr>
          <w:rFonts w:ascii="宋体" w:hAnsi="宋体"/>
          <w:bCs/>
          <w:sz w:val="28"/>
          <w:szCs w:val="28"/>
          <w:lang w:val="zh-CN"/>
        </w:rPr>
        <w:t>。</w:t>
      </w:r>
    </w:p>
    <w:p>
      <w:pPr>
        <w:tabs>
          <w:tab w:val="left" w:pos="771"/>
        </w:tabs>
        <w:spacing w:line="560" w:lineRule="exact"/>
        <w:ind w:firstLine="560" w:firstLineChars="200"/>
        <w:rPr>
          <w:rFonts w:ascii="宋体" w:hAnsi="宋体"/>
          <w:bCs/>
          <w:sz w:val="28"/>
          <w:szCs w:val="28"/>
        </w:rPr>
      </w:pPr>
      <w:r>
        <w:rPr>
          <w:rFonts w:hint="eastAsia" w:ascii="黑体" w:hAnsi="黑体" w:eastAsia="黑体"/>
          <w:bCs/>
          <w:sz w:val="28"/>
          <w:szCs w:val="28"/>
        </w:rPr>
        <w:t>三、诚信责任保证金承诺</w:t>
      </w:r>
    </w:p>
    <w:p>
      <w:pPr>
        <w:widowControl/>
        <w:spacing w:line="560" w:lineRule="exact"/>
        <w:ind w:firstLine="560" w:firstLineChars="200"/>
        <w:rPr>
          <w:rFonts w:ascii="宋体" w:hAnsi="宋体"/>
          <w:bCs/>
          <w:sz w:val="28"/>
          <w:szCs w:val="28"/>
          <w:lang w:val="zh-CN"/>
        </w:rPr>
      </w:pPr>
      <w:r>
        <w:rPr>
          <w:rFonts w:ascii="宋体" w:hAnsi="宋体"/>
          <w:bCs/>
          <w:sz w:val="28"/>
          <w:szCs w:val="28"/>
          <w:lang w:val="zh-CN"/>
        </w:rPr>
        <w:t>1.</w:t>
      </w:r>
      <w:r>
        <w:rPr>
          <w:rFonts w:hint="eastAsia" w:ascii="宋体" w:hAnsi="宋体" w:cs="宋体"/>
          <w:bCs/>
          <w:sz w:val="28"/>
          <w:szCs w:val="28"/>
          <w:lang w:bidi="ar"/>
        </w:rPr>
        <w:t>严格遵守</w:t>
      </w:r>
      <w:r>
        <w:rPr>
          <w:rFonts w:hint="eastAsia" w:cs="宋体"/>
          <w:bCs/>
          <w:sz w:val="28"/>
          <w:szCs w:val="28"/>
          <w:lang w:bidi="ar"/>
        </w:rPr>
        <w:t>《供应商诚信承诺》</w:t>
      </w:r>
      <w:r>
        <w:rPr>
          <w:rFonts w:hint="eastAsia" w:ascii="宋体" w:hAnsi="宋体" w:cs="宋体"/>
          <w:bCs/>
          <w:sz w:val="28"/>
          <w:szCs w:val="28"/>
          <w:lang w:bidi="ar"/>
        </w:rPr>
        <w:t>，若受到</w:t>
      </w:r>
      <w:r>
        <w:rPr>
          <w:rFonts w:ascii="宋体" w:hAnsi="宋体" w:cs="宋体"/>
          <w:bCs/>
          <w:sz w:val="28"/>
          <w:szCs w:val="28"/>
          <w:lang w:bidi="ar"/>
        </w:rPr>
        <w:t>1年、2年、3年禁止参加军队采购活动处理的，同意缴纳本项目采购预算金额1%、1.5%、2%的诚信责任保证金（按照四舍五入原则，取整到千元），最低额度为10万元，最高额度为200万元。</w:t>
      </w:r>
    </w:p>
    <w:p>
      <w:pPr>
        <w:widowControl/>
        <w:spacing w:line="560" w:lineRule="exact"/>
        <w:ind w:firstLine="560" w:firstLineChars="200"/>
        <w:rPr>
          <w:rFonts w:ascii="宋体" w:hAnsi="宋体"/>
          <w:bCs/>
          <w:sz w:val="28"/>
          <w:szCs w:val="28"/>
          <w:lang w:val="zh-CN"/>
        </w:rPr>
      </w:pPr>
      <w:r>
        <w:rPr>
          <w:rFonts w:ascii="宋体" w:hAnsi="宋体"/>
          <w:bCs/>
          <w:sz w:val="28"/>
          <w:szCs w:val="28"/>
          <w:lang w:val="zh-CN"/>
        </w:rPr>
        <w:t>2.</w:t>
      </w:r>
      <w:r>
        <w:rPr>
          <w:rFonts w:hint="eastAsia" w:ascii="宋体" w:hAnsi="宋体" w:cs="宋体"/>
          <w:bCs/>
          <w:sz w:val="28"/>
          <w:szCs w:val="28"/>
          <w:lang w:bidi="ar"/>
        </w:rPr>
        <w:t>同意至恢复参加军队采购活动资格之日前，缴纳诚信责任保证金。逾期不缴纳的，不予恢复参加军队采购活动资格；自禁止性处理期满之日起超过</w:t>
      </w:r>
      <w:r>
        <w:rPr>
          <w:rFonts w:ascii="宋体" w:hAnsi="宋体" w:cs="宋体"/>
          <w:bCs/>
          <w:sz w:val="28"/>
          <w:szCs w:val="28"/>
          <w:lang w:bidi="ar"/>
        </w:rPr>
        <w:t>6个月不缴纳的，给予终身禁止处理。如恢复参加军队采购活动资格之日起3年内再次受到1年以上（含）禁止参加军队采购活动处理的，同意前述保证金不予退还，并同意再次按照被处理的采购项目预算金额以及处理年限对应的比例重新缴纳保证金，在未缴纳之前不得参加军队采购活动。</w:t>
      </w:r>
    </w:p>
    <w:p>
      <w:pPr>
        <w:widowControl/>
        <w:spacing w:line="560" w:lineRule="exact"/>
        <w:ind w:firstLine="560" w:firstLineChars="200"/>
        <w:rPr>
          <w:rFonts w:ascii="宋体" w:hAnsi="宋体"/>
          <w:bCs/>
          <w:sz w:val="28"/>
          <w:szCs w:val="28"/>
          <w:lang w:val="zh-CN"/>
        </w:rPr>
      </w:pPr>
      <w:r>
        <w:rPr>
          <w:rFonts w:ascii="宋体" w:hAnsi="宋体"/>
          <w:bCs/>
          <w:sz w:val="28"/>
          <w:szCs w:val="28"/>
          <w:lang w:val="zh-CN"/>
        </w:rPr>
        <w:t>3.</w:t>
      </w:r>
      <w:r>
        <w:rPr>
          <w:rFonts w:hint="eastAsia" w:ascii="宋体" w:hAnsi="宋体" w:cs="宋体"/>
          <w:bCs/>
          <w:sz w:val="28"/>
          <w:szCs w:val="28"/>
          <w:lang w:bidi="ar"/>
        </w:rPr>
        <w:t>若经查实采取串通谈判手段取得成交资格，已进入履约阶段的，同意按照军队采购合同管理和供应商管理有关规定，接受相应处理；需继续履约但存在明显价格风险的，同意扣除利润，按照审定的实际成本结算，审定结果高于合同金额的，按照合同执行，接受相应违规处理；对于已完成履约和结算的，同意根据审价认定的实际成本支出，退还军队超额付款部分，接受相应违规处理。审价所需费用由我方承担。</w:t>
      </w:r>
    </w:p>
    <w:p>
      <w:pPr>
        <w:widowControl/>
        <w:spacing w:line="560" w:lineRule="exact"/>
        <w:ind w:firstLine="560" w:firstLineChars="200"/>
        <w:rPr>
          <w:rFonts w:ascii="宋体" w:hAnsi="宋体"/>
          <w:bCs/>
          <w:sz w:val="28"/>
          <w:szCs w:val="28"/>
          <w:lang w:val="zh-CN"/>
        </w:rPr>
      </w:pPr>
      <w:r>
        <w:rPr>
          <w:rFonts w:ascii="宋体" w:hAnsi="宋体" w:cs="宋体"/>
          <w:bCs/>
          <w:sz w:val="28"/>
          <w:szCs w:val="28"/>
          <w:lang w:bidi="ar"/>
        </w:rPr>
        <w:t>4.给部队造成损失的，同意按照国家法律和合同约定，予以相应经济赔偿。</w:t>
      </w:r>
    </w:p>
    <w:p>
      <w:pPr>
        <w:tabs>
          <w:tab w:val="left" w:pos="771"/>
        </w:tabs>
        <w:spacing w:line="560" w:lineRule="exact"/>
        <w:ind w:firstLine="560" w:firstLineChars="200"/>
        <w:rPr>
          <w:rFonts w:ascii="宋体" w:hAnsi="宋体"/>
          <w:bCs/>
          <w:sz w:val="28"/>
          <w:szCs w:val="28"/>
        </w:rPr>
      </w:pPr>
      <w:r>
        <w:rPr>
          <w:rFonts w:hint="eastAsia" w:ascii="黑体" w:hAnsi="黑体" w:eastAsia="黑体"/>
          <w:bCs/>
          <w:sz w:val="28"/>
          <w:szCs w:val="28"/>
        </w:rPr>
        <w:t>四、未被列入违法失信名单承诺</w:t>
      </w:r>
    </w:p>
    <w:p>
      <w:pPr>
        <w:spacing w:line="560" w:lineRule="exact"/>
        <w:ind w:firstLine="560" w:firstLineChars="200"/>
        <w:rPr>
          <w:rFonts w:ascii="宋体" w:hAnsi="宋体" w:cs="宋体"/>
          <w:bCs/>
          <w:sz w:val="28"/>
          <w:szCs w:val="28"/>
        </w:rPr>
      </w:pPr>
      <w:r>
        <w:rPr>
          <w:rFonts w:hint="eastAsia" w:ascii="宋体" w:hAnsi="宋体"/>
          <w:sz w:val="28"/>
          <w:szCs w:val="28"/>
        </w:rPr>
        <w:t>未被中国政府采购网（</w:t>
      </w:r>
      <w:r>
        <w:rPr>
          <w:rFonts w:ascii="宋体" w:hAnsi="宋体"/>
          <w:sz w:val="28"/>
          <w:szCs w:val="28"/>
        </w:rPr>
        <w:t>www.ccgp.gov.cn</w:t>
      </w:r>
      <w:r>
        <w:rPr>
          <w:rFonts w:hint="eastAsia" w:ascii="宋体" w:hAnsi="宋体"/>
          <w:sz w:val="28"/>
          <w:szCs w:val="28"/>
        </w:rPr>
        <w:t>）列入政府采购严重违法失信行为记录名单，未在军队采购网（</w:t>
      </w:r>
      <w:r>
        <w:rPr>
          <w:rFonts w:ascii="宋体" w:hAnsi="宋体"/>
          <w:sz w:val="28"/>
          <w:szCs w:val="28"/>
        </w:rPr>
        <w:t>www.</w:t>
      </w:r>
      <w:r>
        <w:rPr>
          <w:rFonts w:hint="eastAsia" w:ascii="宋体" w:hAnsi="宋体"/>
          <w:sz w:val="28"/>
          <w:szCs w:val="28"/>
        </w:rPr>
        <w:t>plap.mil.cn）军队采购暂停名单处罚范围内或军队采购失信名单禁入处罚期和处罚范围内，未被列入政府采购严重失信行为记录名单</w:t>
      </w:r>
      <w:r>
        <w:rPr>
          <w:rFonts w:hint="eastAsia" w:ascii="宋体" w:hAnsi="宋体"/>
          <w:sz w:val="28"/>
          <w:szCs w:val="28"/>
          <w:lang w:val="en-US" w:eastAsia="zh-CN"/>
        </w:rPr>
        <w:t>，</w:t>
      </w:r>
      <w:r>
        <w:rPr>
          <w:rFonts w:hint="eastAsia" w:ascii="宋体" w:hAnsi="宋体"/>
          <w:sz w:val="28"/>
          <w:szCs w:val="28"/>
        </w:rPr>
        <w:t>未被列入我院违规调查处理名单中</w:t>
      </w:r>
      <w:r>
        <w:rPr>
          <w:rFonts w:hint="eastAsia" w:ascii="宋体" w:hAnsi="宋体"/>
          <w:sz w:val="28"/>
          <w:szCs w:val="28"/>
          <w:lang w:eastAsia="zh-CN"/>
        </w:rPr>
        <w:t>，</w:t>
      </w:r>
      <w:r>
        <w:rPr>
          <w:rFonts w:hint="eastAsia" w:ascii="宋体" w:hAnsi="宋体"/>
          <w:sz w:val="28"/>
          <w:szCs w:val="28"/>
        </w:rPr>
        <w:t>未被“信用中国”（</w:t>
      </w:r>
      <w:r>
        <w:rPr>
          <w:rFonts w:ascii="宋体" w:hAnsi="宋体"/>
          <w:sz w:val="28"/>
          <w:szCs w:val="28"/>
        </w:rPr>
        <w:t>www.creditchina.gov.cn</w:t>
      </w:r>
      <w:r>
        <w:rPr>
          <w:rFonts w:hint="eastAsia" w:ascii="宋体" w:hAnsi="宋体"/>
          <w:sz w:val="28"/>
          <w:szCs w:val="28"/>
        </w:rPr>
        <w:t>）</w:t>
      </w:r>
      <w:r>
        <w:rPr>
          <w:rFonts w:hint="eastAsia" w:ascii="宋体" w:hAnsi="宋体"/>
          <w:sz w:val="28"/>
          <w:szCs w:val="28"/>
          <w:lang w:val="en-US" w:eastAsia="zh-CN"/>
        </w:rPr>
        <w:t>网站</w:t>
      </w:r>
      <w:r>
        <w:rPr>
          <w:rFonts w:hint="eastAsia" w:ascii="宋体" w:hAnsi="宋体"/>
          <w:sz w:val="28"/>
          <w:szCs w:val="28"/>
        </w:rPr>
        <w:t>列入严重失信主体名单</w:t>
      </w:r>
      <w:r>
        <w:rPr>
          <w:rFonts w:hint="eastAsia" w:ascii="宋体" w:hAnsi="宋体"/>
          <w:sz w:val="28"/>
          <w:szCs w:val="28"/>
          <w:lang w:eastAsia="zh-CN"/>
        </w:rPr>
        <w:t>（</w:t>
      </w:r>
      <w:r>
        <w:rPr>
          <w:rFonts w:hint="eastAsia" w:ascii="宋体" w:hAnsi="宋体"/>
          <w:sz w:val="28"/>
          <w:szCs w:val="28"/>
        </w:rPr>
        <w:t>被执行人</w:t>
      </w:r>
      <w:r>
        <w:rPr>
          <w:rFonts w:hint="eastAsia" w:ascii="宋体" w:hAnsi="宋体"/>
          <w:sz w:val="28"/>
          <w:szCs w:val="28"/>
          <w:lang w:eastAsia="zh-CN"/>
        </w:rPr>
        <w:t>）、</w:t>
      </w:r>
      <w:r>
        <w:rPr>
          <w:rFonts w:hint="eastAsia" w:ascii="宋体" w:hAnsi="宋体"/>
          <w:sz w:val="28"/>
          <w:szCs w:val="28"/>
        </w:rPr>
        <w:t>重大税收违法案件当事人名单</w:t>
      </w:r>
      <w:r>
        <w:rPr>
          <w:rFonts w:hint="eastAsia" w:ascii="宋体" w:hAnsi="宋体"/>
          <w:sz w:val="28"/>
          <w:szCs w:val="28"/>
          <w:lang w:eastAsia="zh-CN"/>
        </w:rPr>
        <w:t>，</w:t>
      </w:r>
      <w:r>
        <w:rPr>
          <w:rFonts w:hint="eastAsia" w:ascii="宋体" w:hAnsi="宋体"/>
          <w:sz w:val="28"/>
          <w:szCs w:val="28"/>
          <w:lang w:val="en-US" w:eastAsia="zh-CN"/>
        </w:rPr>
        <w:t>近三年内未在“</w:t>
      </w:r>
      <w:r>
        <w:rPr>
          <w:rFonts w:hint="eastAsia" w:ascii="宋体" w:hAnsi="宋体"/>
          <w:sz w:val="28"/>
          <w:szCs w:val="28"/>
        </w:rPr>
        <w:t>国家企业信用信息公示系统（</w:t>
      </w:r>
      <w:r>
        <w:rPr>
          <w:rFonts w:ascii="宋体" w:hAnsi="宋体"/>
          <w:sz w:val="28"/>
          <w:szCs w:val="28"/>
        </w:rPr>
        <w:t>www.gsxt.gov.cn</w:t>
      </w:r>
      <w:r>
        <w:rPr>
          <w:rFonts w:hint="eastAsia" w:ascii="宋体" w:hAnsi="宋体"/>
          <w:sz w:val="28"/>
          <w:szCs w:val="28"/>
        </w:rPr>
        <w:t>）</w:t>
      </w:r>
      <w:r>
        <w:rPr>
          <w:rFonts w:hint="eastAsia" w:ascii="宋体" w:hAnsi="宋体"/>
          <w:sz w:val="28"/>
          <w:szCs w:val="28"/>
          <w:lang w:eastAsia="zh-CN"/>
        </w:rPr>
        <w:t>”</w:t>
      </w:r>
      <w:r>
        <w:rPr>
          <w:rFonts w:hint="eastAsia" w:ascii="宋体" w:hAnsi="宋体"/>
          <w:sz w:val="28"/>
          <w:szCs w:val="28"/>
        </w:rPr>
        <w:t>列入严重违法失信名单（处罚期内）</w:t>
      </w:r>
      <w:r>
        <w:rPr>
          <w:rFonts w:hint="eastAsia" w:ascii="宋体" w:hAnsi="宋体"/>
          <w:sz w:val="28"/>
          <w:szCs w:val="28"/>
          <w:lang w:val="en-US" w:eastAsia="zh-CN"/>
        </w:rPr>
        <w:t>或有与医疗设备相关的不良记录</w:t>
      </w:r>
      <w:r>
        <w:rPr>
          <w:rFonts w:hint="eastAsia" w:ascii="宋体" w:hAnsi="宋体"/>
          <w:sz w:val="28"/>
          <w:szCs w:val="28"/>
        </w:rPr>
        <w:t>。</w:t>
      </w:r>
    </w:p>
    <w:p>
      <w:pPr>
        <w:tabs>
          <w:tab w:val="left" w:pos="771"/>
        </w:tabs>
        <w:spacing w:line="560" w:lineRule="exact"/>
        <w:ind w:firstLine="560" w:firstLineChars="200"/>
        <w:rPr>
          <w:rFonts w:ascii="宋体" w:hAnsi="宋体"/>
          <w:bCs/>
          <w:sz w:val="28"/>
          <w:szCs w:val="28"/>
        </w:rPr>
      </w:pPr>
      <w:r>
        <w:rPr>
          <w:rFonts w:hint="eastAsia" w:ascii="黑体" w:hAnsi="黑体" w:eastAsia="黑体"/>
          <w:bCs/>
          <w:sz w:val="28"/>
          <w:szCs w:val="28"/>
        </w:rPr>
        <w:t>五、</w:t>
      </w:r>
      <w:r>
        <w:rPr>
          <w:rFonts w:hint="eastAsia" w:ascii="黑体" w:hAnsi="黑体" w:eastAsia="黑体" w:cs="宋体"/>
          <w:bCs/>
          <w:sz w:val="28"/>
          <w:szCs w:val="28"/>
        </w:rPr>
        <w:t>关联</w:t>
      </w:r>
      <w:r>
        <w:rPr>
          <w:rFonts w:hint="eastAsia" w:ascii="黑体" w:hAnsi="黑体" w:eastAsia="黑体"/>
          <w:bCs/>
          <w:sz w:val="28"/>
          <w:szCs w:val="28"/>
        </w:rPr>
        <w:t>关系企业不参与采购活动承诺</w:t>
      </w:r>
    </w:p>
    <w:p>
      <w:pPr>
        <w:spacing w:line="560" w:lineRule="exact"/>
        <w:ind w:firstLine="560" w:firstLineChars="200"/>
        <w:rPr>
          <w:rFonts w:ascii="宋体" w:hAnsi="宋体"/>
          <w:bCs/>
          <w:sz w:val="28"/>
          <w:szCs w:val="28"/>
        </w:rPr>
      </w:pPr>
      <w:r>
        <w:rPr>
          <w:rFonts w:hint="eastAsia" w:ascii="宋体" w:hAnsi="宋体"/>
          <w:bCs/>
          <w:sz w:val="28"/>
          <w:szCs w:val="28"/>
        </w:rPr>
        <w:t>与我</w:t>
      </w:r>
      <w:r>
        <w:rPr>
          <w:rFonts w:ascii="宋体" w:hAnsi="宋体"/>
          <w:bCs/>
          <w:sz w:val="28"/>
          <w:szCs w:val="28"/>
        </w:rPr>
        <w:t>单位负责人为同一人或存在直接控股</w:t>
      </w:r>
      <w:r>
        <w:rPr>
          <w:rFonts w:hint="eastAsia" w:ascii="宋体" w:hAnsi="宋体"/>
          <w:bCs/>
          <w:sz w:val="28"/>
          <w:szCs w:val="28"/>
        </w:rPr>
        <w:t>或</w:t>
      </w:r>
      <w:r>
        <w:rPr>
          <w:rFonts w:ascii="宋体" w:hAnsi="宋体"/>
          <w:bCs/>
          <w:sz w:val="28"/>
          <w:szCs w:val="28"/>
        </w:rPr>
        <w:t>管理关系的不同供应商，</w:t>
      </w:r>
      <w:r>
        <w:rPr>
          <w:rFonts w:hint="eastAsia" w:ascii="宋体" w:hAnsi="宋体"/>
          <w:bCs/>
          <w:sz w:val="28"/>
          <w:szCs w:val="28"/>
        </w:rPr>
        <w:t>未参加同一包</w:t>
      </w:r>
      <w:r>
        <w:rPr>
          <w:rFonts w:ascii="宋体" w:hAnsi="宋体"/>
          <w:bCs/>
          <w:sz w:val="28"/>
          <w:szCs w:val="28"/>
        </w:rPr>
        <w:t>采购活动。</w:t>
      </w:r>
    </w:p>
    <w:p>
      <w:pPr>
        <w:spacing w:line="560" w:lineRule="exact"/>
        <w:ind w:firstLine="560" w:firstLineChars="200"/>
        <w:rPr>
          <w:sz w:val="28"/>
          <w:szCs w:val="28"/>
        </w:rPr>
      </w:pPr>
      <w:r>
        <w:rPr>
          <w:rFonts w:hint="eastAsia" w:ascii="宋体" w:hAnsi="宋体" w:cs="宋体"/>
          <w:bCs/>
          <w:sz w:val="28"/>
          <w:szCs w:val="28"/>
        </w:rPr>
        <w:t>我单位为生产型企业的，与我单位</w:t>
      </w:r>
      <w:r>
        <w:rPr>
          <w:rFonts w:hint="eastAsia" w:ascii="宋体" w:hAnsi="宋体"/>
          <w:bCs/>
          <w:sz w:val="28"/>
          <w:szCs w:val="28"/>
        </w:rPr>
        <w:t>生产场经营地址或注册登记地址为同一地址的其他生产型企业，未参加同一包</w:t>
      </w:r>
      <w:r>
        <w:rPr>
          <w:rFonts w:ascii="宋体" w:hAnsi="宋体"/>
          <w:bCs/>
          <w:sz w:val="28"/>
          <w:szCs w:val="28"/>
        </w:rPr>
        <w:t>采购活动。</w:t>
      </w:r>
    </w:p>
    <w:p>
      <w:pPr>
        <w:tabs>
          <w:tab w:val="left" w:pos="771"/>
        </w:tabs>
        <w:spacing w:line="560" w:lineRule="exact"/>
        <w:ind w:firstLine="560" w:firstLineChars="200"/>
        <w:rPr>
          <w:rFonts w:ascii="宋体" w:hAnsi="宋体"/>
          <w:bCs/>
          <w:sz w:val="28"/>
          <w:szCs w:val="28"/>
        </w:rPr>
      </w:pPr>
      <w:r>
        <w:rPr>
          <w:rFonts w:hint="eastAsia" w:ascii="宋体" w:hAnsi="宋体" w:cs="宋体"/>
          <w:bCs/>
          <w:sz w:val="28"/>
          <w:szCs w:val="28"/>
        </w:rPr>
        <w:t>我单位为非</w:t>
      </w:r>
      <w:r>
        <w:rPr>
          <w:rFonts w:hint="eastAsia" w:ascii="宋体" w:hAnsi="宋体" w:cs="宋体"/>
          <w:bCs/>
          <w:sz w:val="28"/>
          <w:szCs w:val="28"/>
          <w:lang w:bidi="ar"/>
        </w:rPr>
        <w:t>国有销售型企业的，</w:t>
      </w:r>
      <w:r>
        <w:rPr>
          <w:rFonts w:hint="eastAsia" w:ascii="宋体" w:hAnsi="宋体" w:cs="宋体"/>
          <w:bCs/>
          <w:sz w:val="28"/>
          <w:szCs w:val="28"/>
        </w:rPr>
        <w:t>与我单位</w:t>
      </w:r>
      <w:r>
        <w:rPr>
          <w:rFonts w:hint="eastAsia" w:ascii="宋体" w:hAnsi="宋体" w:cs="宋体"/>
          <w:bCs/>
          <w:sz w:val="28"/>
          <w:szCs w:val="28"/>
          <w:lang w:bidi="ar"/>
        </w:rPr>
        <w:t>股东和管理人员（法定代表人、董事或监事）之间存在近亲属（</w:t>
      </w:r>
      <w:r>
        <w:rPr>
          <w:rFonts w:ascii="宋体" w:hAnsi="宋体"/>
          <w:bCs/>
          <w:sz w:val="28"/>
          <w:szCs w:val="28"/>
        </w:rPr>
        <w:t>指</w:t>
      </w:r>
      <w:r>
        <w:rPr>
          <w:rFonts w:hint="eastAsia" w:ascii="宋体" w:hAnsi="宋体"/>
          <w:bCs/>
          <w:sz w:val="28"/>
          <w:szCs w:val="28"/>
        </w:rPr>
        <w:t>夫妻</w:t>
      </w:r>
      <w:r>
        <w:rPr>
          <w:rFonts w:ascii="宋体" w:hAnsi="宋体"/>
          <w:bCs/>
          <w:sz w:val="28"/>
          <w:szCs w:val="28"/>
        </w:rPr>
        <w:t>、直系血亲、三代以内旁系血亲或</w:t>
      </w:r>
      <w:r>
        <w:rPr>
          <w:rFonts w:hint="eastAsia" w:ascii="宋体" w:hAnsi="宋体"/>
          <w:bCs/>
          <w:sz w:val="28"/>
          <w:szCs w:val="28"/>
        </w:rPr>
        <w:t>近</w:t>
      </w:r>
      <w:r>
        <w:rPr>
          <w:rFonts w:ascii="宋体" w:hAnsi="宋体"/>
          <w:bCs/>
          <w:sz w:val="28"/>
          <w:szCs w:val="28"/>
        </w:rPr>
        <w:t>姻</w:t>
      </w:r>
      <w:r>
        <w:rPr>
          <w:rFonts w:hint="eastAsia" w:ascii="宋体" w:hAnsi="宋体"/>
          <w:bCs/>
          <w:sz w:val="28"/>
          <w:szCs w:val="28"/>
        </w:rPr>
        <w:t>亲</w:t>
      </w:r>
      <w:r>
        <w:rPr>
          <w:rFonts w:ascii="宋体" w:hAnsi="宋体"/>
          <w:bCs/>
          <w:sz w:val="28"/>
          <w:szCs w:val="28"/>
        </w:rPr>
        <w:t>关系</w:t>
      </w:r>
      <w:r>
        <w:rPr>
          <w:rFonts w:hint="eastAsia" w:ascii="宋体" w:hAnsi="宋体" w:cs="宋体"/>
          <w:bCs/>
          <w:sz w:val="28"/>
          <w:szCs w:val="28"/>
          <w:lang w:bidi="ar"/>
        </w:rPr>
        <w:t>）或相互占股等关联关系的其他非国有销售型企业，也未</w:t>
      </w:r>
      <w:r>
        <w:rPr>
          <w:rFonts w:ascii="宋体" w:hAnsi="宋体"/>
          <w:bCs/>
          <w:sz w:val="28"/>
          <w:szCs w:val="28"/>
        </w:rPr>
        <w:t>参加</w:t>
      </w:r>
      <w:r>
        <w:rPr>
          <w:rFonts w:hint="eastAsia" w:ascii="宋体" w:hAnsi="宋体"/>
          <w:bCs/>
          <w:sz w:val="28"/>
          <w:szCs w:val="28"/>
        </w:rPr>
        <w:t>同一包</w:t>
      </w:r>
      <w:r>
        <w:rPr>
          <w:rFonts w:ascii="宋体" w:hAnsi="宋体"/>
          <w:bCs/>
          <w:sz w:val="28"/>
          <w:szCs w:val="28"/>
        </w:rPr>
        <w:t>采购活动</w:t>
      </w:r>
      <w:r>
        <w:rPr>
          <w:rFonts w:hint="eastAsia" w:ascii="宋体" w:hAnsi="宋体"/>
          <w:bCs/>
          <w:sz w:val="28"/>
          <w:szCs w:val="28"/>
        </w:rPr>
        <w:t>。</w:t>
      </w:r>
    </w:p>
    <w:p>
      <w:pPr>
        <w:tabs>
          <w:tab w:val="left" w:pos="771"/>
        </w:tabs>
        <w:spacing w:line="560" w:lineRule="exact"/>
        <w:ind w:firstLine="560" w:firstLineChars="200"/>
        <w:rPr>
          <w:rFonts w:ascii="宋体" w:hAnsi="宋体"/>
          <w:bCs/>
          <w:sz w:val="28"/>
          <w:szCs w:val="28"/>
        </w:rPr>
      </w:pPr>
      <w:r>
        <w:rPr>
          <w:rFonts w:hint="eastAsia" w:ascii="黑体" w:hAnsi="黑体" w:eastAsia="黑体"/>
          <w:bCs/>
          <w:sz w:val="28"/>
          <w:szCs w:val="28"/>
        </w:rPr>
        <w:t>六、前</w:t>
      </w:r>
      <w:r>
        <w:rPr>
          <w:rFonts w:ascii="黑体" w:hAnsi="黑体" w:eastAsia="黑体"/>
          <w:bCs/>
          <w:sz w:val="28"/>
          <w:szCs w:val="28"/>
        </w:rPr>
        <w:t>3年没有重大违法记录的书面声明</w:t>
      </w:r>
    </w:p>
    <w:p>
      <w:pPr>
        <w:tabs>
          <w:tab w:val="left" w:pos="771"/>
        </w:tabs>
        <w:spacing w:line="560" w:lineRule="exact"/>
        <w:ind w:firstLine="560" w:firstLineChars="200"/>
        <w:rPr>
          <w:rFonts w:ascii="宋体" w:hAnsi="宋体"/>
          <w:bCs/>
          <w:sz w:val="28"/>
          <w:szCs w:val="28"/>
        </w:rPr>
      </w:pPr>
      <w:r>
        <w:rPr>
          <w:rFonts w:hint="eastAsia"/>
          <w:bCs/>
          <w:sz w:val="28"/>
          <w:szCs w:val="28"/>
        </w:rPr>
        <w:t>我单位在参加本次采购活动</w:t>
      </w:r>
      <w:r>
        <w:rPr>
          <w:rFonts w:hint="eastAsia" w:asciiTheme="minorEastAsia" w:hAnsiTheme="minorEastAsia" w:eastAsiaTheme="minorEastAsia"/>
          <w:bCs/>
          <w:sz w:val="28"/>
          <w:szCs w:val="28"/>
        </w:rPr>
        <w:t>前</w:t>
      </w:r>
      <w:r>
        <w:rPr>
          <w:rFonts w:asciiTheme="minorEastAsia" w:hAnsiTheme="minorEastAsia" w:eastAsiaTheme="minorEastAsia"/>
          <w:bCs/>
          <w:sz w:val="28"/>
          <w:szCs w:val="28"/>
        </w:rPr>
        <w:t>3</w:t>
      </w:r>
      <w:r>
        <w:rPr>
          <w:rFonts w:hint="eastAsia"/>
          <w:bCs/>
          <w:sz w:val="28"/>
          <w:szCs w:val="28"/>
        </w:rPr>
        <w:t>年内</w:t>
      </w:r>
      <w:r>
        <w:rPr>
          <w:rFonts w:hint="eastAsia" w:ascii="宋体" w:hAnsi="宋体" w:cs="宋体"/>
          <w:bCs/>
          <w:sz w:val="28"/>
          <w:szCs w:val="28"/>
        </w:rPr>
        <w:t>在经营活动中</w:t>
      </w:r>
      <w:r>
        <w:rPr>
          <w:rFonts w:hint="eastAsia"/>
          <w:bCs/>
          <w:sz w:val="28"/>
          <w:szCs w:val="28"/>
        </w:rPr>
        <w:t>没有重大违法记录。</w:t>
      </w:r>
    </w:p>
    <w:p>
      <w:pPr>
        <w:tabs>
          <w:tab w:val="left" w:pos="771"/>
        </w:tabs>
        <w:spacing w:line="560" w:lineRule="exact"/>
        <w:ind w:firstLine="560" w:firstLineChars="200"/>
        <w:rPr>
          <w:rFonts w:ascii="宋体" w:hAnsi="宋体"/>
          <w:bCs/>
          <w:sz w:val="28"/>
          <w:szCs w:val="28"/>
        </w:rPr>
      </w:pPr>
      <w:r>
        <w:rPr>
          <w:rFonts w:hint="eastAsia" w:ascii="黑体" w:hAnsi="黑体" w:eastAsia="黑体"/>
          <w:bCs/>
          <w:sz w:val="28"/>
          <w:szCs w:val="28"/>
        </w:rPr>
        <w:t>七、没有发生过重大质量安全事故的书面声明</w:t>
      </w:r>
    </w:p>
    <w:p>
      <w:pPr>
        <w:tabs>
          <w:tab w:val="left" w:pos="771"/>
        </w:tabs>
        <w:spacing w:line="560" w:lineRule="exact"/>
        <w:ind w:firstLine="560" w:firstLineChars="200"/>
        <w:rPr>
          <w:rFonts w:ascii="宋体" w:hAnsi="宋体"/>
          <w:bCs/>
          <w:sz w:val="28"/>
          <w:szCs w:val="28"/>
        </w:rPr>
      </w:pPr>
      <w:r>
        <w:rPr>
          <w:rFonts w:hint="eastAsia" w:ascii="宋体" w:hAnsi="宋体"/>
          <w:bCs/>
          <w:sz w:val="28"/>
          <w:szCs w:val="28"/>
        </w:rPr>
        <w:t>我单位近</w:t>
      </w:r>
      <w:r>
        <w:rPr>
          <w:rFonts w:ascii="宋体" w:hAnsi="宋体"/>
          <w:bCs/>
          <w:sz w:val="28"/>
          <w:szCs w:val="28"/>
        </w:rPr>
        <w:t>3年没有发生过重大质量安全事故。</w:t>
      </w:r>
    </w:p>
    <w:p>
      <w:pPr>
        <w:tabs>
          <w:tab w:val="left" w:pos="771"/>
        </w:tabs>
        <w:spacing w:line="560" w:lineRule="exact"/>
        <w:ind w:firstLine="560" w:firstLineChars="200"/>
        <w:rPr>
          <w:rFonts w:ascii="宋体" w:hAnsi="宋体"/>
          <w:bCs/>
          <w:sz w:val="28"/>
          <w:szCs w:val="28"/>
        </w:rPr>
      </w:pPr>
      <w:r>
        <w:rPr>
          <w:rFonts w:hint="eastAsia" w:ascii="黑体" w:hAnsi="黑体" w:eastAsia="黑体"/>
          <w:bCs/>
          <w:sz w:val="28"/>
          <w:szCs w:val="28"/>
        </w:rPr>
        <w:t>八、非外资独资企业或控股企业的书面声明</w:t>
      </w:r>
    </w:p>
    <w:p>
      <w:pPr>
        <w:tabs>
          <w:tab w:val="left" w:pos="771"/>
        </w:tabs>
        <w:spacing w:line="560" w:lineRule="exact"/>
        <w:ind w:firstLine="560" w:firstLineChars="200"/>
        <w:rPr>
          <w:rFonts w:ascii="宋体" w:hAnsi="宋体"/>
          <w:bCs/>
          <w:sz w:val="28"/>
          <w:szCs w:val="28"/>
        </w:rPr>
      </w:pPr>
      <w:r>
        <w:rPr>
          <w:rFonts w:hint="eastAsia" w:ascii="宋体" w:hAnsi="宋体"/>
          <w:bCs/>
          <w:sz w:val="28"/>
          <w:szCs w:val="28"/>
        </w:rPr>
        <w:t>我单位为非外资</w:t>
      </w:r>
      <w:r>
        <w:rPr>
          <w:rFonts w:hint="eastAsia" w:ascii="宋体" w:hAnsi="宋体"/>
          <w:bCs/>
          <w:sz w:val="28"/>
          <w:szCs w:val="28"/>
          <w:lang w:eastAsia="zh-CN"/>
        </w:rPr>
        <w:t>（含港澳台）</w:t>
      </w:r>
      <w:r>
        <w:rPr>
          <w:rFonts w:hint="eastAsia" w:ascii="宋体" w:hAnsi="宋体"/>
          <w:bCs/>
          <w:sz w:val="28"/>
          <w:szCs w:val="28"/>
        </w:rPr>
        <w:t>独资企业或控股企业。</w:t>
      </w:r>
    </w:p>
    <w:p>
      <w:pPr>
        <w:tabs>
          <w:tab w:val="left" w:pos="771"/>
        </w:tabs>
        <w:spacing w:line="560" w:lineRule="exact"/>
        <w:ind w:firstLine="560" w:firstLineChars="200"/>
        <w:rPr>
          <w:rFonts w:ascii="黑体" w:hAnsi="黑体" w:eastAsia="黑体" w:cs="宋体"/>
          <w:bCs/>
          <w:sz w:val="28"/>
          <w:szCs w:val="28"/>
        </w:rPr>
      </w:pPr>
      <w:r>
        <w:rPr>
          <w:rFonts w:hint="eastAsia" w:ascii="黑体" w:hAnsi="黑体" w:eastAsia="黑体" w:cs="宋体"/>
          <w:bCs/>
          <w:sz w:val="28"/>
          <w:szCs w:val="28"/>
        </w:rPr>
        <w:t>九、具备履约专业能力的书面声明</w:t>
      </w:r>
    </w:p>
    <w:p>
      <w:pPr>
        <w:spacing w:line="560" w:lineRule="exact"/>
        <w:ind w:firstLine="560" w:firstLineChars="200"/>
        <w:rPr>
          <w:sz w:val="28"/>
          <w:szCs w:val="28"/>
        </w:rPr>
      </w:pPr>
      <w:r>
        <w:rPr>
          <w:rFonts w:hint="eastAsia"/>
          <w:sz w:val="28"/>
          <w:szCs w:val="28"/>
        </w:rPr>
        <w:t>我单位具有履行合同所必需的设备和专业技术能力。</w:t>
      </w:r>
    </w:p>
    <w:p>
      <w:pPr>
        <w:autoSpaceDE w:val="0"/>
        <w:autoSpaceDN w:val="0"/>
        <w:adjustRightInd w:val="0"/>
        <w:spacing w:line="560" w:lineRule="exact"/>
        <w:ind w:firstLine="560" w:firstLineChars="200"/>
        <w:rPr>
          <w:bCs/>
          <w:sz w:val="28"/>
          <w:szCs w:val="28"/>
        </w:rPr>
      </w:pPr>
    </w:p>
    <w:p>
      <w:pPr>
        <w:autoSpaceDE w:val="0"/>
        <w:autoSpaceDN w:val="0"/>
        <w:adjustRightInd w:val="0"/>
        <w:spacing w:line="560" w:lineRule="exact"/>
        <w:ind w:firstLine="560" w:firstLineChars="200"/>
        <w:rPr>
          <w:bCs/>
          <w:sz w:val="28"/>
          <w:szCs w:val="28"/>
        </w:rPr>
      </w:pPr>
      <w:r>
        <w:rPr>
          <w:rFonts w:hint="eastAsia"/>
          <w:bCs/>
          <w:sz w:val="28"/>
          <w:szCs w:val="28"/>
        </w:rPr>
        <w:t>如果我方违反上述承诺声明内容，愿意承担由此导致的一切不利后果和法律责任，</w:t>
      </w:r>
      <w:r>
        <w:rPr>
          <w:rFonts w:hint="eastAsia"/>
          <w:bCs/>
          <w:sz w:val="28"/>
          <w:szCs w:val="28"/>
          <w:lang w:val="zh-CN"/>
        </w:rPr>
        <w:t>接受军队采购管理部门和采购机构按国家和军队有关法规作出的相关处罚</w:t>
      </w:r>
      <w:r>
        <w:rPr>
          <w:rFonts w:hint="eastAsia"/>
          <w:bCs/>
          <w:sz w:val="28"/>
          <w:szCs w:val="28"/>
        </w:rPr>
        <w:t>。</w:t>
      </w:r>
    </w:p>
    <w:p>
      <w:pPr>
        <w:widowControl/>
        <w:spacing w:line="560" w:lineRule="exact"/>
        <w:rPr>
          <w:bCs/>
          <w:sz w:val="28"/>
          <w:szCs w:val="28"/>
          <w:lang w:val="zh-CN"/>
        </w:rPr>
      </w:pPr>
    </w:p>
    <w:p>
      <w:pPr>
        <w:spacing w:line="560" w:lineRule="exact"/>
        <w:ind w:firstLine="560" w:firstLineChars="200"/>
        <w:jc w:val="center"/>
        <w:rPr>
          <w:bCs/>
          <w:sz w:val="28"/>
          <w:szCs w:val="28"/>
          <w:lang w:val="zh-CN"/>
        </w:rPr>
      </w:pPr>
      <w:r>
        <w:rPr>
          <w:bCs/>
          <w:sz w:val="28"/>
          <w:szCs w:val="28"/>
          <w:lang w:val="zh-CN"/>
        </w:rPr>
        <w:t xml:space="preserve">       </w:t>
      </w:r>
      <w:r>
        <w:rPr>
          <w:rFonts w:hint="eastAsia"/>
          <w:bCs/>
          <w:sz w:val="28"/>
          <w:szCs w:val="28"/>
          <w:lang w:val="zh-CN"/>
        </w:rPr>
        <w:t xml:space="preserve"> </w:t>
      </w:r>
      <w:r>
        <w:rPr>
          <w:bCs/>
          <w:sz w:val="28"/>
          <w:szCs w:val="28"/>
          <w:lang w:val="zh-CN"/>
        </w:rPr>
        <w:t xml:space="preserve">        </w:t>
      </w:r>
      <w:r>
        <w:rPr>
          <w:rFonts w:hint="eastAsia"/>
          <w:bCs/>
          <w:sz w:val="28"/>
          <w:szCs w:val="28"/>
          <w:lang w:val="zh-CN"/>
        </w:rPr>
        <w:t>报价供应商全称：（盖章）</w:t>
      </w:r>
    </w:p>
    <w:p>
      <w:pPr>
        <w:spacing w:line="560" w:lineRule="exact"/>
        <w:ind w:firstLine="560" w:firstLineChars="200"/>
        <w:jc w:val="center"/>
        <w:rPr>
          <w:bCs/>
          <w:sz w:val="28"/>
          <w:szCs w:val="28"/>
          <w:lang w:val="zh-CN"/>
        </w:rPr>
      </w:pPr>
      <w:r>
        <w:rPr>
          <w:bCs/>
          <w:sz w:val="28"/>
          <w:szCs w:val="28"/>
          <w:lang w:val="zh-CN"/>
        </w:rPr>
        <w:t xml:space="preserve">       </w:t>
      </w:r>
      <w:r>
        <w:rPr>
          <w:rFonts w:hint="eastAsia"/>
          <w:bCs/>
          <w:sz w:val="28"/>
          <w:szCs w:val="28"/>
          <w:lang w:val="zh-CN"/>
        </w:rPr>
        <w:t xml:space="preserve">           </w:t>
      </w:r>
      <w:r>
        <w:rPr>
          <w:bCs/>
          <w:sz w:val="28"/>
          <w:szCs w:val="28"/>
          <w:lang w:val="zh-CN"/>
        </w:rPr>
        <w:t xml:space="preserve">       </w:t>
      </w:r>
      <w:r>
        <w:rPr>
          <w:rFonts w:hint="eastAsia"/>
          <w:bCs/>
          <w:sz w:val="28"/>
          <w:szCs w:val="28"/>
          <w:lang w:val="zh-CN"/>
        </w:rPr>
        <w:t>法定代表人（或授权代表）：（签字）</w:t>
      </w:r>
    </w:p>
    <w:p>
      <w:pPr>
        <w:spacing w:line="560" w:lineRule="exact"/>
        <w:ind w:firstLine="560" w:firstLineChars="200"/>
        <w:rPr>
          <w:bCs w:val="0"/>
          <w:lang w:val="zh-CN"/>
        </w:rPr>
      </w:pPr>
      <w:r>
        <w:rPr>
          <w:bCs/>
          <w:sz w:val="28"/>
          <w:szCs w:val="28"/>
          <w:lang w:val="zh-CN"/>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pStyle w:val="6"/>
        <w:spacing w:before="120" w:beforeLines="50" w:after="120" w:afterLines="50" w:line="560" w:lineRule="exact"/>
        <w:rPr>
          <w:b w:val="0"/>
          <w:lang w:val="zh-CN"/>
        </w:rPr>
      </w:pPr>
      <w:bookmarkStart w:id="570" w:name="_Toc30315"/>
      <w:bookmarkStart w:id="571" w:name="_Toc18710"/>
      <w:bookmarkStart w:id="572" w:name="_Toc30359"/>
      <w:bookmarkStart w:id="573" w:name="_Toc2897"/>
      <w:bookmarkStart w:id="574" w:name="_Toc17477"/>
      <w:bookmarkStart w:id="575" w:name="_Toc112768484"/>
      <w:r>
        <w:rPr>
          <w:rFonts w:hint="eastAsia"/>
          <w:b w:val="0"/>
          <w:lang w:val="zh-CN"/>
        </w:rPr>
        <w:t>附件3-</w:t>
      </w:r>
      <w:r>
        <w:rPr>
          <w:b w:val="0"/>
        </w:rPr>
        <w:t>6</w:t>
      </w:r>
      <w:r>
        <w:rPr>
          <w:rFonts w:hint="eastAsia"/>
          <w:b w:val="0"/>
          <w:lang w:val="zh-CN"/>
        </w:rPr>
        <w:t xml:space="preserve"> 纳税证明材料</w:t>
      </w:r>
      <w:bookmarkEnd w:id="570"/>
      <w:bookmarkEnd w:id="571"/>
      <w:bookmarkEnd w:id="572"/>
      <w:bookmarkEnd w:id="573"/>
      <w:bookmarkEnd w:id="574"/>
      <w:bookmarkEnd w:id="575"/>
    </w:p>
    <w:p>
      <w:pPr>
        <w:jc w:val="center"/>
        <w:rPr>
          <w:rFonts w:ascii="黑体" w:hAnsi="黑体" w:eastAsia="黑体" w:cs="黑体"/>
          <w:bCs/>
          <w:sz w:val="36"/>
          <w:szCs w:val="36"/>
          <w:lang w:val="zh-CN"/>
        </w:rPr>
      </w:pPr>
      <w:r>
        <w:rPr>
          <w:rFonts w:hint="eastAsia" w:ascii="黑体" w:hAnsi="黑体" w:eastAsia="黑体" w:cs="黑体"/>
          <w:bCs/>
          <w:sz w:val="36"/>
          <w:szCs w:val="36"/>
          <w:lang w:val="zh-CN"/>
        </w:rPr>
        <w:t>纳税证明材料</w:t>
      </w:r>
    </w:p>
    <w:p>
      <w:pPr>
        <w:widowControl/>
        <w:ind w:firstLine="420" w:firstLineChars="200"/>
        <w:jc w:val="center"/>
        <w:rPr>
          <w:rFonts w:ascii="Arial" w:hAnsi="Arial" w:eastAsia="黑体"/>
          <w:bCs/>
          <w:sz w:val="28"/>
          <w:szCs w:val="28"/>
          <w:lang w:val="zh-CN"/>
        </w:rPr>
      </w:pPr>
      <w:r>
        <w:rPr>
          <w:bCs/>
          <w:lang w:val="zh-CN"/>
        </w:rPr>
        <w:br w:type="page"/>
      </w:r>
    </w:p>
    <w:p>
      <w:pPr>
        <w:pStyle w:val="6"/>
        <w:spacing w:before="120" w:beforeLines="50" w:after="120" w:afterLines="50" w:line="560" w:lineRule="exact"/>
        <w:rPr>
          <w:b w:val="0"/>
          <w:lang w:val="zh-CN"/>
        </w:rPr>
      </w:pPr>
      <w:bookmarkStart w:id="576" w:name="_Toc6442"/>
      <w:bookmarkStart w:id="577" w:name="_Toc2712"/>
      <w:bookmarkStart w:id="578" w:name="_Toc112768485"/>
      <w:bookmarkStart w:id="579" w:name="_Toc22007"/>
      <w:bookmarkStart w:id="580" w:name="_Toc7401"/>
      <w:bookmarkStart w:id="581" w:name="_Toc15691"/>
      <w:r>
        <w:rPr>
          <w:rFonts w:hint="eastAsia"/>
          <w:b w:val="0"/>
          <w:lang w:val="zh-CN"/>
        </w:rPr>
        <w:t>附件3-</w:t>
      </w:r>
      <w:r>
        <w:rPr>
          <w:b w:val="0"/>
        </w:rPr>
        <w:t>7</w:t>
      </w:r>
      <w:r>
        <w:rPr>
          <w:rFonts w:hint="eastAsia"/>
          <w:b w:val="0"/>
          <w:lang w:val="zh-CN"/>
        </w:rPr>
        <w:t xml:space="preserve"> 缴纳社会保障金证明材料</w:t>
      </w:r>
      <w:bookmarkEnd w:id="576"/>
      <w:bookmarkEnd w:id="577"/>
      <w:bookmarkEnd w:id="578"/>
      <w:bookmarkEnd w:id="579"/>
      <w:bookmarkEnd w:id="580"/>
      <w:bookmarkEnd w:id="581"/>
    </w:p>
    <w:p>
      <w:pPr>
        <w:spacing w:before="120" w:beforeLines="50" w:after="120" w:afterLines="50" w:line="560" w:lineRule="exact"/>
        <w:jc w:val="center"/>
        <w:rPr>
          <w:rFonts w:ascii="黑体" w:hAnsi="黑体" w:eastAsia="黑体" w:cs="黑体"/>
          <w:sz w:val="36"/>
          <w:szCs w:val="36"/>
          <w:lang w:val="zh-CN"/>
        </w:rPr>
      </w:pPr>
      <w:r>
        <w:rPr>
          <w:rFonts w:hint="eastAsia" w:ascii="黑体" w:hAnsi="黑体" w:eastAsia="黑体" w:cs="黑体"/>
          <w:sz w:val="36"/>
          <w:szCs w:val="36"/>
          <w:lang w:val="zh-CN"/>
        </w:rPr>
        <w:t>缴纳社会保障金证明材料</w:t>
      </w:r>
    </w:p>
    <w:p>
      <w:pPr>
        <w:widowControl/>
        <w:ind w:firstLine="420" w:firstLineChars="200"/>
        <w:jc w:val="left"/>
        <w:rPr>
          <w:rFonts w:ascii="Arial" w:hAnsi="Arial" w:eastAsia="黑体"/>
          <w:bCs/>
          <w:sz w:val="28"/>
          <w:szCs w:val="28"/>
        </w:rPr>
      </w:pPr>
      <w:r>
        <w:rPr>
          <w:bCs/>
        </w:rPr>
        <w:br w:type="page"/>
      </w:r>
    </w:p>
    <w:p>
      <w:pPr>
        <w:pStyle w:val="6"/>
        <w:spacing w:before="120" w:beforeLines="50" w:after="120" w:afterLines="50" w:line="560" w:lineRule="exact"/>
        <w:rPr>
          <w:b w:val="0"/>
          <w:lang w:val="zh-CN"/>
        </w:rPr>
      </w:pPr>
      <w:bookmarkStart w:id="582" w:name="_Toc112768486"/>
      <w:bookmarkStart w:id="583" w:name="_Toc24320"/>
      <w:bookmarkStart w:id="584" w:name="_Toc5092"/>
      <w:bookmarkStart w:id="585" w:name="_Toc16625"/>
      <w:bookmarkStart w:id="586" w:name="_Toc23091"/>
      <w:bookmarkStart w:id="587" w:name="_Toc28464"/>
      <w:r>
        <w:rPr>
          <w:rFonts w:hint="eastAsia" w:cs="Times New Roman"/>
          <w:b w:val="0"/>
          <w:lang w:val="en-US" w:eastAsia="zh-CN"/>
        </w:rPr>
        <w:t>附件3-8 近1年（2022年）会计师事务所出具的审计报告或公司财务报告（表）</w:t>
      </w:r>
    </w:p>
    <w:p>
      <w:pPr>
        <w:spacing w:before="120" w:beforeLines="50" w:after="120" w:afterLines="50" w:line="560" w:lineRule="exact"/>
        <w:jc w:val="center"/>
        <w:rPr>
          <w:rFonts w:hint="eastAsia" w:ascii="黑体" w:hAnsi="黑体" w:eastAsia="黑体" w:cs="黑体"/>
          <w:bCs/>
          <w:sz w:val="36"/>
          <w:szCs w:val="36"/>
          <w:lang w:val="zh-CN"/>
        </w:rPr>
      </w:pPr>
    </w:p>
    <w:p>
      <w:pPr>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近1年（202</w:t>
      </w:r>
      <w:r>
        <w:rPr>
          <w:rFonts w:hint="eastAsia" w:ascii="黑体" w:hAnsi="黑体" w:eastAsia="黑体" w:cs="黑体"/>
          <w:bCs/>
          <w:sz w:val="36"/>
          <w:szCs w:val="36"/>
          <w:lang w:val="en-US" w:eastAsia="zh-CN"/>
        </w:rPr>
        <w:t>2</w:t>
      </w:r>
      <w:r>
        <w:rPr>
          <w:rFonts w:hint="eastAsia" w:ascii="黑体" w:hAnsi="黑体" w:eastAsia="黑体" w:cs="黑体"/>
          <w:bCs/>
          <w:sz w:val="36"/>
          <w:szCs w:val="36"/>
          <w:lang w:val="zh-CN"/>
        </w:rPr>
        <w:t>年）会计师事务所出具的（不足1年以成立日期起算）审计报告主要内容或公司财务报告（表），至少包含资产负债表、利润表、现金流量表</w:t>
      </w:r>
    </w:p>
    <w:p>
      <w:pPr>
        <w:pStyle w:val="16"/>
        <w:spacing w:after="0" w:line="560" w:lineRule="exact"/>
        <w:ind w:firstLine="560" w:firstLineChars="200"/>
        <w:rPr>
          <w:sz w:val="28"/>
          <w:szCs w:val="28"/>
          <w:lang w:val="zh-CN"/>
        </w:rPr>
      </w:pPr>
      <w:r>
        <w:rPr>
          <w:rFonts w:hint="eastAsia"/>
          <w:sz w:val="28"/>
          <w:szCs w:val="28"/>
          <w:lang w:val="zh-CN"/>
        </w:rPr>
        <w:t>（报价供应商属于集团公司母公司的，如提供集团公司合并财务报表，应当能够体现母公司财务报表数据且以母公司数据为准，不能体现的应当同时提供母公司的财务报表；合并报表无法拆分且未提供母公司财务报表的，相应评分以零分处理。）</w:t>
      </w:r>
    </w:p>
    <w:p>
      <w:pPr>
        <w:widowControl/>
        <w:ind w:firstLine="420" w:firstLineChars="200"/>
        <w:jc w:val="left"/>
        <w:rPr>
          <w:rFonts w:ascii="Arial" w:hAnsi="Arial" w:eastAsia="黑体"/>
          <w:bCs/>
          <w:sz w:val="28"/>
          <w:szCs w:val="28"/>
          <w:lang w:val="zh-CN"/>
        </w:rPr>
      </w:pPr>
      <w:r>
        <w:rPr>
          <w:bCs/>
          <w:lang w:val="zh-CN"/>
        </w:rPr>
        <w:br w:type="page"/>
      </w:r>
    </w:p>
    <w:p>
      <w:pPr>
        <w:pStyle w:val="6"/>
        <w:spacing w:before="120" w:beforeLines="50" w:after="120" w:afterLines="50" w:line="560" w:lineRule="exact"/>
        <w:rPr>
          <w:rFonts w:hint="eastAsia" w:cs="Times New Roman"/>
          <w:b w:val="0"/>
          <w:lang w:val="en-US" w:eastAsia="zh-CN"/>
        </w:rPr>
      </w:pPr>
      <w:r>
        <w:rPr>
          <w:rFonts w:hint="eastAsia" w:cs="Times New Roman"/>
          <w:b w:val="0"/>
          <w:lang w:val="en-US" w:eastAsia="zh-CN"/>
        </w:rPr>
        <w:t>附件3-9 谈判保证金缴纳证明材料</w:t>
      </w:r>
      <w:bookmarkEnd w:id="582"/>
      <w:bookmarkEnd w:id="583"/>
      <w:bookmarkEnd w:id="584"/>
      <w:bookmarkEnd w:id="585"/>
      <w:bookmarkEnd w:id="586"/>
      <w:bookmarkEnd w:id="587"/>
    </w:p>
    <w:p>
      <w:pPr>
        <w:spacing w:line="560" w:lineRule="exact"/>
        <w:jc w:val="center"/>
        <w:rPr>
          <w:rFonts w:ascii="宋体" w:hAnsi="宋体" w:cs="宋体"/>
          <w:bCs/>
          <w:sz w:val="28"/>
          <w:szCs w:val="28"/>
          <w:u w:val="single"/>
        </w:rPr>
      </w:pPr>
      <w:r>
        <w:rPr>
          <w:rFonts w:hint="eastAsia" w:ascii="黑体" w:hAnsi="黑体" w:eastAsia="黑体" w:cs="黑体"/>
          <w:bCs/>
          <w:sz w:val="36"/>
          <w:szCs w:val="36"/>
        </w:rPr>
        <w:t>谈判保证金缴纳证明材料</w:t>
      </w:r>
    </w:p>
    <w:p>
      <w:pPr>
        <w:spacing w:before="240" w:beforeLines="100" w:line="360" w:lineRule="auto"/>
        <w:jc w:val="center"/>
        <w:rPr>
          <w:rFonts w:ascii="宋体" w:hAnsi="宋体" w:cs="宋体"/>
          <w:bCs/>
          <w:sz w:val="28"/>
          <w:szCs w:val="28"/>
          <w:u w:val="single"/>
        </w:rPr>
      </w:pPr>
      <w:r>
        <w:rPr>
          <w:rFonts w:hint="eastAsia" w:ascii="宋体" w:hAnsi="宋体"/>
          <w:sz w:val="28"/>
          <w:szCs w:val="28"/>
        </w:rPr>
        <w:t>（一般为银行转账凭证，谈判保证金应当从报价供应商的银行账户缴纳）</w:t>
      </w:r>
    </w:p>
    <w:p>
      <w:pPr>
        <w:spacing w:line="360" w:lineRule="auto"/>
        <w:jc w:val="center"/>
        <w:rPr>
          <w:rFonts w:ascii="宋体" w:hAnsi="宋体" w:cs="宋体"/>
          <w:bCs/>
          <w:sz w:val="28"/>
          <w:szCs w:val="28"/>
          <w:u w:val="single"/>
        </w:rPr>
      </w:pPr>
    </w:p>
    <w:p>
      <w:pPr>
        <w:spacing w:line="360" w:lineRule="auto"/>
        <w:jc w:val="center"/>
        <w:rPr>
          <w:bCs/>
          <w:sz w:val="28"/>
          <w:szCs w:val="28"/>
          <w:lang w:val="zh-CN"/>
        </w:rPr>
      </w:pPr>
    </w:p>
    <w:p>
      <w:pPr>
        <w:pStyle w:val="6"/>
        <w:spacing w:before="120" w:beforeLines="50" w:after="120" w:afterLines="50" w:line="560" w:lineRule="exact"/>
        <w:rPr>
          <w:b w:val="0"/>
          <w:lang w:val="zh-CN"/>
        </w:rPr>
      </w:pPr>
      <w:bookmarkStart w:id="588" w:name="_Toc14822"/>
      <w:bookmarkStart w:id="589" w:name="_Toc2859"/>
      <w:bookmarkStart w:id="590" w:name="_Toc112768488"/>
      <w:bookmarkStart w:id="591" w:name="_Toc21675"/>
      <w:bookmarkStart w:id="592" w:name="_Toc112768487"/>
      <w:bookmarkStart w:id="593" w:name="_Toc27010"/>
      <w:bookmarkStart w:id="594" w:name="_Toc32275"/>
      <w:bookmarkStart w:id="595" w:name="_Toc11020"/>
      <w:bookmarkStart w:id="596" w:name="_Toc17623"/>
      <w:bookmarkStart w:id="597" w:name="_Toc27304"/>
      <w:r>
        <w:rPr>
          <w:b w:val="0"/>
        </w:rPr>
        <w:br w:type="page"/>
      </w:r>
      <w:bookmarkStart w:id="598" w:name="_Toc6667"/>
      <w:bookmarkStart w:id="599" w:name="_Toc12066"/>
      <w:bookmarkStart w:id="600" w:name="_Toc23675"/>
      <w:bookmarkStart w:id="601" w:name="_Toc25249"/>
      <w:bookmarkStart w:id="602" w:name="_Toc6984"/>
      <w:r>
        <w:rPr>
          <w:rFonts w:hint="eastAsia"/>
          <w:b w:val="0"/>
          <w:lang w:val="zh-CN"/>
        </w:rPr>
        <w:t>附件</w:t>
      </w:r>
      <w:r>
        <w:rPr>
          <w:b w:val="0"/>
          <w:lang w:val="zh-CN"/>
        </w:rPr>
        <w:t>3-</w:t>
      </w:r>
      <w:r>
        <w:rPr>
          <w:b w:val="0"/>
        </w:rPr>
        <w:t>10</w:t>
      </w:r>
      <w:r>
        <w:rPr>
          <w:b w:val="0"/>
          <w:lang w:val="zh-CN"/>
        </w:rPr>
        <w:t xml:space="preserve"> </w:t>
      </w:r>
      <w:r>
        <w:rPr>
          <w:rFonts w:hint="eastAsia"/>
          <w:b w:val="0"/>
          <w:lang w:val="zh-CN"/>
        </w:rPr>
        <w:t>管理体系认证证书</w:t>
      </w:r>
      <w:bookmarkEnd w:id="598"/>
      <w:bookmarkEnd w:id="599"/>
      <w:bookmarkEnd w:id="600"/>
      <w:bookmarkEnd w:id="601"/>
      <w:bookmarkEnd w:id="602"/>
      <w:r>
        <w:rPr>
          <w:rFonts w:hint="eastAsia"/>
          <w:b w:val="0"/>
          <w:lang w:val="zh-CN"/>
        </w:rPr>
        <w:t>（如有）</w:t>
      </w:r>
    </w:p>
    <w:p>
      <w:pPr>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管理体系认证证书</w:t>
      </w:r>
    </w:p>
    <w:p>
      <w:pPr>
        <w:spacing w:line="360" w:lineRule="auto"/>
        <w:ind w:firstLine="560" w:firstLineChars="200"/>
        <w:jc w:val="left"/>
        <w:rPr>
          <w:bCs/>
          <w:sz w:val="28"/>
          <w:szCs w:val="28"/>
          <w:lang w:val="zh-CN"/>
        </w:rPr>
      </w:pPr>
      <w:r>
        <w:rPr>
          <w:rFonts w:hint="eastAsia"/>
          <w:bCs/>
          <w:sz w:val="28"/>
          <w:szCs w:val="28"/>
          <w:lang w:val="zh-CN"/>
        </w:rPr>
        <w:t>（</w:t>
      </w:r>
      <w:r>
        <w:rPr>
          <w:rFonts w:hint="eastAsia"/>
          <w:bCs/>
          <w:sz w:val="28"/>
          <w:szCs w:val="28"/>
        </w:rPr>
        <w:t>包括质量管理体系、环境管理体系、职业健康管理体系认证证书，</w:t>
      </w:r>
      <w:r>
        <w:rPr>
          <w:rFonts w:hint="eastAsia"/>
          <w:bCs/>
          <w:sz w:val="28"/>
          <w:szCs w:val="28"/>
          <w:lang w:val="zh-CN"/>
        </w:rPr>
        <w:t>由报价供应商</w:t>
      </w:r>
      <w:r>
        <w:rPr>
          <w:rFonts w:hint="eastAsia"/>
          <w:bCs/>
          <w:sz w:val="28"/>
          <w:szCs w:val="28"/>
        </w:rPr>
        <w:t>按谈判文件要求提供。</w:t>
      </w:r>
      <w:r>
        <w:rPr>
          <w:rFonts w:hint="eastAsia"/>
          <w:bCs/>
          <w:sz w:val="28"/>
          <w:szCs w:val="28"/>
          <w:lang w:val="zh-CN"/>
        </w:rPr>
        <w:t>）</w:t>
      </w:r>
    </w:p>
    <w:bookmarkEnd w:id="588"/>
    <w:bookmarkEnd w:id="589"/>
    <w:bookmarkEnd w:id="590"/>
    <w:bookmarkEnd w:id="591"/>
    <w:p>
      <w:pPr>
        <w:pStyle w:val="6"/>
        <w:keepNext/>
        <w:keepLines/>
        <w:pageBreakBefore w:val="0"/>
        <w:widowControl w:val="0"/>
        <w:kinsoku/>
        <w:wordWrap/>
        <w:overflowPunct/>
        <w:topLinePunct w:val="0"/>
        <w:autoSpaceDE/>
        <w:autoSpaceDN/>
        <w:bidi w:val="0"/>
        <w:adjustRightInd/>
        <w:snapToGrid/>
        <w:spacing w:before="195" w:beforeLines="50" w:after="195" w:afterLines="50" w:line="560" w:lineRule="exact"/>
        <w:textAlignment w:val="auto"/>
        <w:rPr>
          <w:b w:val="0"/>
          <w:bCs/>
        </w:rPr>
      </w:pPr>
      <w:r>
        <w:rPr>
          <w:b w:val="0"/>
          <w:lang w:val="zh-CN"/>
        </w:rPr>
        <w:br w:type="page"/>
      </w:r>
      <w:bookmarkEnd w:id="592"/>
      <w:bookmarkEnd w:id="593"/>
      <w:bookmarkEnd w:id="594"/>
      <w:bookmarkEnd w:id="595"/>
      <w:bookmarkEnd w:id="596"/>
      <w:bookmarkEnd w:id="597"/>
      <w:bookmarkStart w:id="603" w:name="_Toc5829"/>
      <w:r>
        <w:rPr>
          <w:rFonts w:hint="eastAsia"/>
          <w:b w:val="0"/>
          <w:bCs/>
        </w:rPr>
        <w:t>附件</w:t>
      </w:r>
      <w:r>
        <w:rPr>
          <w:b w:val="0"/>
          <w:bCs/>
        </w:rPr>
        <w:t>3-</w:t>
      </w:r>
      <w:r>
        <w:rPr>
          <w:rFonts w:hint="eastAsia"/>
          <w:b w:val="0"/>
          <w:bCs/>
          <w:lang w:val="en-US" w:eastAsia="zh-CN"/>
        </w:rPr>
        <w:t>11</w:t>
      </w:r>
      <w:r>
        <w:rPr>
          <w:b w:val="0"/>
          <w:bCs/>
        </w:rPr>
        <w:t xml:space="preserve"> </w:t>
      </w:r>
      <w:r>
        <w:rPr>
          <w:rFonts w:hint="eastAsia"/>
          <w:b w:val="0"/>
          <w:bCs/>
          <w:lang w:eastAsia="zh-CN"/>
        </w:rPr>
        <w:t>报价</w:t>
      </w:r>
      <w:r>
        <w:rPr>
          <w:rFonts w:hint="eastAsia"/>
          <w:b w:val="0"/>
          <w:bCs/>
        </w:rPr>
        <w:t>供应商基本情况表</w:t>
      </w:r>
      <w:bookmarkEnd w:id="603"/>
    </w:p>
    <w:p>
      <w:pPr>
        <w:keepNext w:val="0"/>
        <w:keepLines w:val="0"/>
        <w:pageBreakBefore w:val="0"/>
        <w:widowControl w:val="0"/>
        <w:kinsoku/>
        <w:wordWrap/>
        <w:overflowPunct/>
        <w:topLinePunct w:val="0"/>
        <w:autoSpaceDE/>
        <w:autoSpaceDN/>
        <w:bidi w:val="0"/>
        <w:adjustRightInd/>
        <w:snapToGrid/>
        <w:spacing w:before="195" w:beforeLines="50" w:after="195" w:afterLines="50" w:line="560" w:lineRule="exact"/>
        <w:jc w:val="center"/>
        <w:textAlignment w:val="auto"/>
        <w:rPr>
          <w:rFonts w:hint="eastAsia" w:ascii="黑体" w:hAnsi="黑体" w:eastAsia="黑体" w:cs="黑体"/>
          <w:b w:val="0"/>
          <w:bCs/>
          <w:sz w:val="36"/>
          <w:szCs w:val="36"/>
        </w:rPr>
      </w:pPr>
      <w:r>
        <w:rPr>
          <w:rFonts w:hint="eastAsia" w:ascii="黑体" w:hAnsi="黑体" w:eastAsia="黑体" w:cs="黑体"/>
          <w:b w:val="0"/>
          <w:bCs/>
          <w:sz w:val="36"/>
          <w:szCs w:val="36"/>
          <w:lang w:eastAsia="zh-CN"/>
        </w:rPr>
        <w:t>报价</w:t>
      </w:r>
      <w:r>
        <w:rPr>
          <w:rFonts w:hint="eastAsia" w:ascii="黑体" w:hAnsi="黑体" w:eastAsia="黑体" w:cs="黑体"/>
          <w:b w:val="0"/>
          <w:bCs/>
          <w:sz w:val="36"/>
          <w:szCs w:val="36"/>
        </w:rPr>
        <w:t>供应商基本情况表</w:t>
      </w:r>
    </w:p>
    <w:tbl>
      <w:tblPr>
        <w:tblStyle w:val="44"/>
        <w:tblW w:w="937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936"/>
        <w:gridCol w:w="738"/>
        <w:gridCol w:w="370"/>
        <w:gridCol w:w="551"/>
        <w:gridCol w:w="553"/>
        <w:gridCol w:w="368"/>
        <w:gridCol w:w="738"/>
        <w:gridCol w:w="342"/>
        <w:gridCol w:w="579"/>
        <w:gridCol w:w="738"/>
        <w:gridCol w:w="183"/>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exact"/>
        </w:trPr>
        <w:tc>
          <w:tcPr>
            <w:tcW w:w="1702"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lang w:eastAsia="zh-CN"/>
              </w:rPr>
              <w:t>报价</w:t>
            </w:r>
            <w:r>
              <w:rPr>
                <w:rFonts w:hint="eastAsia"/>
                <w:b w:val="0"/>
                <w:bCs/>
              </w:rPr>
              <w:t>供应商全称</w:t>
            </w:r>
          </w:p>
        </w:tc>
        <w:tc>
          <w:tcPr>
            <w:tcW w:w="7674" w:type="dxa"/>
            <w:gridSpan w:val="12"/>
            <w:tcBorders>
              <w:top w:val="single" w:color="auto" w:sz="4" w:space="0"/>
              <w:left w:val="single" w:color="auto" w:sz="4" w:space="0"/>
              <w:bottom w:val="single" w:color="auto" w:sz="4" w:space="0"/>
              <w:right w:val="single" w:color="auto" w:sz="4" w:space="0"/>
            </w:tcBorders>
            <w:noWrap w:val="0"/>
            <w:vAlign w:val="top"/>
          </w:tcPr>
          <w:p>
            <w:pP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trPr>
        <w:tc>
          <w:tcPr>
            <w:tcW w:w="1702"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详细地址</w:t>
            </w:r>
          </w:p>
        </w:tc>
        <w:tc>
          <w:tcPr>
            <w:tcW w:w="7674" w:type="dxa"/>
            <w:gridSpan w:val="12"/>
            <w:tcBorders>
              <w:top w:val="single" w:color="auto" w:sz="4" w:space="0"/>
              <w:left w:val="single" w:color="auto" w:sz="4" w:space="0"/>
              <w:bottom w:val="single" w:color="auto" w:sz="4" w:space="0"/>
              <w:right w:val="single" w:color="auto" w:sz="4" w:space="0"/>
            </w:tcBorders>
            <w:noWrap w:val="0"/>
            <w:vAlign w:val="top"/>
          </w:tcPr>
          <w:p>
            <w:pP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trPr>
        <w:tc>
          <w:tcPr>
            <w:tcW w:w="1702"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主管部门</w:t>
            </w:r>
          </w:p>
        </w:tc>
        <w:tc>
          <w:tcPr>
            <w:tcW w:w="167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p>
        </w:tc>
        <w:tc>
          <w:tcPr>
            <w:tcW w:w="147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法定代表人</w:t>
            </w:r>
          </w:p>
        </w:tc>
        <w:tc>
          <w:tcPr>
            <w:tcW w:w="202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p>
        </w:tc>
        <w:tc>
          <w:tcPr>
            <w:tcW w:w="9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职务</w:t>
            </w:r>
          </w:p>
        </w:tc>
        <w:tc>
          <w:tcPr>
            <w:tcW w:w="1578" w:type="dxa"/>
            <w:tcBorders>
              <w:top w:val="single" w:color="auto" w:sz="4" w:space="0"/>
              <w:left w:val="single" w:color="auto" w:sz="4" w:space="0"/>
              <w:bottom w:val="single" w:color="auto" w:sz="4" w:space="0"/>
              <w:right w:val="single" w:color="auto" w:sz="4" w:space="0"/>
            </w:tcBorders>
            <w:noWrap w:val="0"/>
            <w:vAlign w:val="top"/>
          </w:tcPr>
          <w:p>
            <w:pP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trPr>
        <w:tc>
          <w:tcPr>
            <w:tcW w:w="1702"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企业性质</w:t>
            </w:r>
          </w:p>
        </w:tc>
        <w:tc>
          <w:tcPr>
            <w:tcW w:w="167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p>
        </w:tc>
        <w:tc>
          <w:tcPr>
            <w:tcW w:w="147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授权代表</w:t>
            </w:r>
          </w:p>
        </w:tc>
        <w:tc>
          <w:tcPr>
            <w:tcW w:w="202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p>
        </w:tc>
        <w:tc>
          <w:tcPr>
            <w:tcW w:w="9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职务</w:t>
            </w:r>
          </w:p>
        </w:tc>
        <w:tc>
          <w:tcPr>
            <w:tcW w:w="1578" w:type="dxa"/>
            <w:tcBorders>
              <w:top w:val="single" w:color="auto" w:sz="4" w:space="0"/>
              <w:left w:val="single" w:color="auto" w:sz="4" w:space="0"/>
              <w:bottom w:val="single" w:color="auto" w:sz="4" w:space="0"/>
              <w:right w:val="single" w:color="auto" w:sz="4" w:space="0"/>
            </w:tcBorders>
            <w:noWrap w:val="0"/>
            <w:vAlign w:val="top"/>
          </w:tcPr>
          <w:p>
            <w:pP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trPr>
        <w:tc>
          <w:tcPr>
            <w:tcW w:w="1702"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邮政编码</w:t>
            </w:r>
          </w:p>
        </w:tc>
        <w:tc>
          <w:tcPr>
            <w:tcW w:w="167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p>
        </w:tc>
        <w:tc>
          <w:tcPr>
            <w:tcW w:w="147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电</w:t>
            </w:r>
            <w:r>
              <w:rPr>
                <w:b w:val="0"/>
                <w:bCs/>
              </w:rPr>
              <w:t xml:space="preserve">    </w:t>
            </w:r>
            <w:r>
              <w:rPr>
                <w:rFonts w:hint="eastAsia"/>
                <w:b w:val="0"/>
                <w:bCs/>
              </w:rPr>
              <w:t>话</w:t>
            </w:r>
          </w:p>
        </w:tc>
        <w:tc>
          <w:tcPr>
            <w:tcW w:w="202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p>
        </w:tc>
        <w:tc>
          <w:tcPr>
            <w:tcW w:w="9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传真</w:t>
            </w:r>
          </w:p>
        </w:tc>
        <w:tc>
          <w:tcPr>
            <w:tcW w:w="1578" w:type="dxa"/>
            <w:tcBorders>
              <w:top w:val="single" w:color="auto" w:sz="4" w:space="0"/>
              <w:left w:val="single" w:color="auto" w:sz="4" w:space="0"/>
              <w:bottom w:val="single" w:color="auto" w:sz="4" w:space="0"/>
              <w:right w:val="single" w:color="auto" w:sz="4" w:space="0"/>
            </w:tcBorders>
            <w:noWrap w:val="0"/>
            <w:vAlign w:val="top"/>
          </w:tcPr>
          <w:p>
            <w:pP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exact"/>
        </w:trPr>
        <w:tc>
          <w:tcPr>
            <w:tcW w:w="1702"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单位简介及机构</w:t>
            </w:r>
          </w:p>
        </w:tc>
        <w:tc>
          <w:tcPr>
            <w:tcW w:w="7674" w:type="dxa"/>
            <w:gridSpan w:val="12"/>
            <w:tcBorders>
              <w:top w:val="single" w:color="auto" w:sz="4" w:space="0"/>
              <w:left w:val="single" w:color="auto" w:sz="4" w:space="0"/>
              <w:bottom w:val="single" w:color="auto" w:sz="4" w:space="0"/>
              <w:right w:val="single" w:color="auto" w:sz="4" w:space="0"/>
            </w:tcBorders>
            <w:noWrap w:val="0"/>
            <w:vAlign w:val="top"/>
          </w:tcPr>
          <w:p>
            <w:pP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exact"/>
        </w:trPr>
        <w:tc>
          <w:tcPr>
            <w:tcW w:w="1702"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单位优势及特长</w:t>
            </w:r>
          </w:p>
        </w:tc>
        <w:tc>
          <w:tcPr>
            <w:tcW w:w="7674" w:type="dxa"/>
            <w:gridSpan w:val="12"/>
            <w:tcBorders>
              <w:top w:val="single" w:color="auto" w:sz="4" w:space="0"/>
              <w:left w:val="single" w:color="auto" w:sz="4" w:space="0"/>
              <w:bottom w:val="single" w:color="auto" w:sz="4" w:space="0"/>
              <w:right w:val="single" w:color="auto" w:sz="4" w:space="0"/>
            </w:tcBorders>
            <w:noWrap w:val="0"/>
            <w:vAlign w:val="top"/>
          </w:tcPr>
          <w:p>
            <w:pP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trPr>
        <w:tc>
          <w:tcPr>
            <w:tcW w:w="170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单</w:t>
            </w:r>
          </w:p>
          <w:p>
            <w:pPr>
              <w:jc w:val="center"/>
              <w:rPr>
                <w:b w:val="0"/>
                <w:bCs/>
              </w:rPr>
            </w:pPr>
            <w:r>
              <w:rPr>
                <w:rFonts w:hint="eastAsia"/>
                <w:b w:val="0"/>
                <w:bCs/>
              </w:rPr>
              <w:t>位</w:t>
            </w:r>
          </w:p>
          <w:p>
            <w:pPr>
              <w:jc w:val="center"/>
              <w:rPr>
                <w:b w:val="0"/>
                <w:bCs/>
              </w:rPr>
            </w:pPr>
            <w:r>
              <w:rPr>
                <w:rFonts w:hint="eastAsia"/>
                <w:b w:val="0"/>
                <w:bCs/>
              </w:rPr>
              <w:t>概</w:t>
            </w:r>
          </w:p>
          <w:p>
            <w:pPr>
              <w:jc w:val="center"/>
              <w:rPr>
                <w:b w:val="0"/>
                <w:bCs/>
              </w:rPr>
            </w:pPr>
            <w:r>
              <w:rPr>
                <w:rFonts w:hint="eastAsia"/>
                <w:b w:val="0"/>
                <w:bCs/>
              </w:rPr>
              <w:t>况</w:t>
            </w:r>
          </w:p>
        </w:tc>
        <w:tc>
          <w:tcPr>
            <w:tcW w:w="93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职工</w:t>
            </w:r>
          </w:p>
          <w:p>
            <w:pPr>
              <w:jc w:val="center"/>
              <w:rPr>
                <w:b w:val="0"/>
                <w:bCs/>
              </w:rPr>
            </w:pPr>
            <w:r>
              <w:rPr>
                <w:rFonts w:hint="eastAsia"/>
                <w:b w:val="0"/>
                <w:bCs/>
              </w:rPr>
              <w:t>总数</w:t>
            </w:r>
          </w:p>
        </w:tc>
        <w:tc>
          <w:tcPr>
            <w:tcW w:w="2580" w:type="dxa"/>
            <w:gridSpan w:val="5"/>
            <w:vMerge w:val="restart"/>
            <w:tcBorders>
              <w:top w:val="single" w:color="auto" w:sz="4" w:space="0"/>
              <w:left w:val="single" w:color="auto" w:sz="4" w:space="0"/>
              <w:bottom w:val="single" w:color="auto" w:sz="4" w:space="0"/>
              <w:right w:val="single" w:color="auto" w:sz="4" w:space="0"/>
            </w:tcBorders>
            <w:noWrap w:val="0"/>
            <w:vAlign w:val="center"/>
          </w:tcPr>
          <w:p>
            <w:pPr>
              <w:ind w:right="560"/>
              <w:jc w:val="center"/>
              <w:rPr>
                <w:b w:val="0"/>
                <w:bCs/>
              </w:rPr>
            </w:pPr>
            <w:r>
              <w:rPr>
                <w:b w:val="0"/>
                <w:bCs/>
                <w:sz w:val="28"/>
                <w:szCs w:val="28"/>
              </w:rPr>
              <w:t xml:space="preserve">   </w:t>
            </w:r>
            <w:r>
              <w:rPr>
                <w:b w:val="0"/>
                <w:bCs/>
                <w:sz w:val="28"/>
                <w:szCs w:val="28"/>
                <w:u w:val="single"/>
              </w:rPr>
              <w:t xml:space="preserve">    </w:t>
            </w:r>
            <w:r>
              <w:rPr>
                <w:rFonts w:hint="eastAsia"/>
                <w:b w:val="0"/>
                <w:bCs/>
              </w:rPr>
              <w:t>人</w:t>
            </w:r>
          </w:p>
        </w:tc>
        <w:tc>
          <w:tcPr>
            <w:tcW w:w="4158"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生</w:t>
            </w:r>
            <w:r>
              <w:rPr>
                <w:b w:val="0"/>
                <w:bCs/>
              </w:rPr>
              <w:t xml:space="preserve"> </w:t>
            </w:r>
            <w:r>
              <w:rPr>
                <w:rFonts w:hint="eastAsia"/>
                <w:b w:val="0"/>
                <w:bCs/>
              </w:rPr>
              <w:t>产</w:t>
            </w:r>
            <w:r>
              <w:rPr>
                <w:b w:val="0"/>
                <w:bCs/>
              </w:rPr>
              <w:t xml:space="preserve"> </w:t>
            </w:r>
            <w:r>
              <w:rPr>
                <w:rFonts w:hint="eastAsia"/>
                <w:b w:val="0"/>
                <w:bCs/>
              </w:rPr>
              <w:t>工</w:t>
            </w:r>
            <w:r>
              <w:rPr>
                <w:b w:val="0"/>
                <w:bCs/>
              </w:rPr>
              <w:t xml:space="preserve"> </w:t>
            </w:r>
            <w:r>
              <w:rPr>
                <w:rFonts w:hint="eastAsia"/>
                <w:b w:val="0"/>
                <w:bCs/>
              </w:rPr>
              <w:t>人</w:t>
            </w:r>
            <w:r>
              <w:rPr>
                <w:b w:val="0"/>
                <w:bCs/>
              </w:rPr>
              <w:t xml:space="preserve"> </w:t>
            </w:r>
            <w:r>
              <w:rPr>
                <w:b w:val="0"/>
                <w:bCs/>
                <w:sz w:val="28"/>
                <w:szCs w:val="28"/>
                <w:u w:val="single"/>
              </w:rPr>
              <w:t xml:space="preserve">   </w:t>
            </w:r>
            <w:r>
              <w:rPr>
                <w:rFonts w:hint="eastAsia"/>
                <w:b w:val="0"/>
                <w:bCs/>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9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2580"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4158"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工程技术人员</w:t>
            </w:r>
            <w:r>
              <w:rPr>
                <w:b w:val="0"/>
                <w:bCs/>
                <w:sz w:val="28"/>
                <w:szCs w:val="28"/>
                <w:u w:val="single"/>
              </w:rPr>
              <w:t xml:space="preserve">   </w:t>
            </w:r>
            <w:r>
              <w:rPr>
                <w:rFonts w:hint="eastAsia"/>
                <w:b w:val="0"/>
                <w:bCs/>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exac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93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流动</w:t>
            </w:r>
          </w:p>
          <w:p>
            <w:pPr>
              <w:jc w:val="center"/>
              <w:rPr>
                <w:b w:val="0"/>
                <w:bCs/>
              </w:rPr>
            </w:pPr>
            <w:r>
              <w:rPr>
                <w:rFonts w:hint="eastAsia"/>
                <w:b w:val="0"/>
                <w:bCs/>
              </w:rPr>
              <w:t>资金</w:t>
            </w:r>
          </w:p>
        </w:tc>
        <w:tc>
          <w:tcPr>
            <w:tcW w:w="2580" w:type="dxa"/>
            <w:gridSpan w:val="5"/>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b w:val="0"/>
                <w:bCs/>
                <w:sz w:val="28"/>
                <w:szCs w:val="28"/>
                <w:u w:val="single"/>
              </w:rPr>
              <w:t xml:space="preserve">    </w:t>
            </w:r>
            <w:r>
              <w:rPr>
                <w:rFonts w:hint="eastAsia"/>
                <w:b w:val="0"/>
                <w:bCs/>
              </w:rPr>
              <w:t>万元</w:t>
            </w:r>
          </w:p>
        </w:tc>
        <w:tc>
          <w:tcPr>
            <w:tcW w:w="108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资金来源</w:t>
            </w:r>
          </w:p>
        </w:tc>
        <w:tc>
          <w:tcPr>
            <w:tcW w:w="13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自有资金</w:t>
            </w:r>
          </w:p>
        </w:tc>
        <w:tc>
          <w:tcPr>
            <w:tcW w:w="17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b w:val="0"/>
                <w:bCs/>
                <w:sz w:val="28"/>
                <w:szCs w:val="28"/>
                <w:u w:val="single"/>
              </w:rPr>
              <w:t xml:space="preserve">   </w:t>
            </w:r>
            <w:r>
              <w:rPr>
                <w:rFonts w:hint="eastAsia"/>
                <w:b w:val="0"/>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exac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9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2580"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10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13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银行贷款</w:t>
            </w:r>
          </w:p>
        </w:tc>
        <w:tc>
          <w:tcPr>
            <w:tcW w:w="17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b w:val="0"/>
                <w:bCs/>
                <w:sz w:val="28"/>
                <w:szCs w:val="28"/>
                <w:u w:val="single"/>
              </w:rPr>
              <w:t xml:space="preserve">   </w:t>
            </w:r>
            <w:r>
              <w:rPr>
                <w:rFonts w:hint="eastAsia"/>
                <w:b w:val="0"/>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exac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93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固定</w:t>
            </w:r>
          </w:p>
          <w:p>
            <w:pPr>
              <w:jc w:val="center"/>
              <w:rPr>
                <w:b w:val="0"/>
                <w:bCs/>
              </w:rPr>
            </w:pPr>
            <w:r>
              <w:rPr>
                <w:rFonts w:hint="eastAsia"/>
                <w:b w:val="0"/>
                <w:bCs/>
              </w:rPr>
              <w:t>资产</w:t>
            </w:r>
          </w:p>
        </w:tc>
        <w:tc>
          <w:tcPr>
            <w:tcW w:w="258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原值</w:t>
            </w:r>
            <w:r>
              <w:rPr>
                <w:b w:val="0"/>
                <w:bCs/>
                <w:sz w:val="28"/>
                <w:szCs w:val="28"/>
                <w:u w:val="single"/>
              </w:rPr>
              <w:t xml:space="preserve">   </w:t>
            </w:r>
            <w:r>
              <w:rPr>
                <w:rFonts w:hint="eastAsia"/>
                <w:b w:val="0"/>
                <w:bCs/>
              </w:rPr>
              <w:t>万元</w:t>
            </w:r>
          </w:p>
        </w:tc>
        <w:tc>
          <w:tcPr>
            <w:tcW w:w="108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资金性质</w:t>
            </w:r>
          </w:p>
        </w:tc>
        <w:tc>
          <w:tcPr>
            <w:tcW w:w="13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生</w:t>
            </w:r>
            <w:r>
              <w:rPr>
                <w:b w:val="0"/>
                <w:bCs/>
              </w:rPr>
              <w:t xml:space="preserve"> </w:t>
            </w:r>
            <w:r>
              <w:rPr>
                <w:rFonts w:hint="eastAsia"/>
                <w:b w:val="0"/>
                <w:bCs/>
              </w:rPr>
              <w:t>产</w:t>
            </w:r>
            <w:r>
              <w:rPr>
                <w:b w:val="0"/>
                <w:bCs/>
              </w:rPr>
              <w:t xml:space="preserve"> </w:t>
            </w:r>
            <w:r>
              <w:rPr>
                <w:rFonts w:hint="eastAsia"/>
                <w:b w:val="0"/>
                <w:bCs/>
              </w:rPr>
              <w:t>性</w:t>
            </w:r>
          </w:p>
        </w:tc>
        <w:tc>
          <w:tcPr>
            <w:tcW w:w="17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b w:val="0"/>
                <w:bCs/>
                <w:sz w:val="28"/>
                <w:szCs w:val="28"/>
                <w:u w:val="single"/>
              </w:rPr>
              <w:t xml:space="preserve">   </w:t>
            </w:r>
            <w:r>
              <w:rPr>
                <w:rFonts w:hint="eastAsia"/>
                <w:b w:val="0"/>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exac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9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258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净值</w:t>
            </w:r>
            <w:r>
              <w:rPr>
                <w:b w:val="0"/>
                <w:bCs/>
                <w:sz w:val="28"/>
                <w:szCs w:val="28"/>
                <w:u w:val="single"/>
              </w:rPr>
              <w:t xml:space="preserve">   </w:t>
            </w:r>
            <w:r>
              <w:rPr>
                <w:rFonts w:hint="eastAsia"/>
                <w:b w:val="0"/>
                <w:bCs/>
              </w:rPr>
              <w:t>万元</w:t>
            </w:r>
          </w:p>
        </w:tc>
        <w:tc>
          <w:tcPr>
            <w:tcW w:w="10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13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非生产性</w:t>
            </w:r>
          </w:p>
        </w:tc>
        <w:tc>
          <w:tcPr>
            <w:tcW w:w="17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b w:val="0"/>
                <w:bCs/>
                <w:sz w:val="28"/>
                <w:szCs w:val="28"/>
                <w:u w:val="single"/>
              </w:rPr>
              <w:t xml:space="preserve">   </w:t>
            </w:r>
            <w:r>
              <w:rPr>
                <w:rFonts w:hint="eastAsia"/>
                <w:b w:val="0"/>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exac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204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主要设施设备情况</w:t>
            </w:r>
          </w:p>
        </w:tc>
        <w:tc>
          <w:tcPr>
            <w:tcW w:w="5630" w:type="dxa"/>
            <w:gridSpan w:val="9"/>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trPr>
        <w:tc>
          <w:tcPr>
            <w:tcW w:w="170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企</w:t>
            </w:r>
            <w:r>
              <w:rPr>
                <w:b w:val="0"/>
                <w:bCs/>
              </w:rPr>
              <w:t xml:space="preserve"> </w:t>
            </w:r>
            <w:r>
              <w:rPr>
                <w:rFonts w:hint="eastAsia"/>
                <w:b w:val="0"/>
                <w:bCs/>
              </w:rPr>
              <w:t>业</w:t>
            </w:r>
            <w:r>
              <w:rPr>
                <w:b w:val="0"/>
                <w:bCs/>
              </w:rPr>
              <w:t xml:space="preserve"> </w:t>
            </w:r>
            <w:r>
              <w:rPr>
                <w:rFonts w:hint="eastAsia"/>
                <w:b w:val="0"/>
                <w:bCs/>
              </w:rPr>
              <w:t>财</w:t>
            </w:r>
          </w:p>
          <w:p>
            <w:pPr>
              <w:jc w:val="center"/>
              <w:rPr>
                <w:b w:val="0"/>
                <w:bCs/>
              </w:rPr>
            </w:pPr>
            <w:r>
              <w:rPr>
                <w:rFonts w:hint="eastAsia"/>
                <w:b w:val="0"/>
                <w:bCs/>
              </w:rPr>
              <w:t>务</w:t>
            </w:r>
            <w:r>
              <w:rPr>
                <w:b w:val="0"/>
                <w:bCs/>
              </w:rPr>
              <w:t xml:space="preserve"> </w:t>
            </w:r>
            <w:r>
              <w:rPr>
                <w:rFonts w:hint="eastAsia"/>
                <w:b w:val="0"/>
                <w:bCs/>
              </w:rPr>
              <w:t>情</w:t>
            </w:r>
            <w:r>
              <w:rPr>
                <w:b w:val="0"/>
                <w:bCs/>
              </w:rPr>
              <w:t xml:space="preserve"> </w:t>
            </w:r>
            <w:r>
              <w:rPr>
                <w:rFonts w:hint="eastAsia"/>
                <w:b w:val="0"/>
                <w:bCs/>
              </w:rPr>
              <w:t>况</w:t>
            </w:r>
          </w:p>
        </w:tc>
        <w:tc>
          <w:tcPr>
            <w:tcW w:w="936"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年度</w:t>
            </w:r>
          </w:p>
        </w:tc>
        <w:tc>
          <w:tcPr>
            <w:tcW w:w="165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收入总额</w:t>
            </w:r>
          </w:p>
        </w:tc>
        <w:tc>
          <w:tcPr>
            <w:tcW w:w="165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利润总额</w:t>
            </w:r>
          </w:p>
        </w:tc>
        <w:tc>
          <w:tcPr>
            <w:tcW w:w="165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税后利润</w:t>
            </w:r>
          </w:p>
        </w:tc>
        <w:tc>
          <w:tcPr>
            <w:tcW w:w="17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负债总额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936"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b w:val="0"/>
                <w:bCs/>
                <w:sz w:val="28"/>
                <w:szCs w:val="28"/>
                <w:u w:val="single"/>
              </w:rPr>
              <w:t xml:space="preserve">   </w:t>
            </w:r>
            <w:r>
              <w:rPr>
                <w:rFonts w:hint="eastAsia"/>
                <w:b w:val="0"/>
                <w:bCs/>
              </w:rPr>
              <w:t>年</w:t>
            </w: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761" w:type="dxa"/>
            <w:gridSpan w:val="2"/>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exac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936"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b w:val="0"/>
                <w:bCs/>
                <w:sz w:val="28"/>
                <w:szCs w:val="28"/>
                <w:u w:val="single"/>
              </w:rPr>
              <w:t xml:space="preserve">   </w:t>
            </w:r>
            <w:r>
              <w:rPr>
                <w:rFonts w:hint="eastAsia"/>
                <w:b w:val="0"/>
                <w:bCs/>
              </w:rPr>
              <w:t>年</w:t>
            </w: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761" w:type="dxa"/>
            <w:gridSpan w:val="2"/>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exac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936"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b w:val="0"/>
                <w:bCs/>
                <w:sz w:val="28"/>
                <w:szCs w:val="28"/>
                <w:u w:val="single"/>
              </w:rPr>
              <w:t xml:space="preserve">   </w:t>
            </w:r>
            <w:r>
              <w:rPr>
                <w:rFonts w:hint="eastAsia"/>
                <w:b w:val="0"/>
                <w:bCs/>
              </w:rPr>
              <w:t>年</w:t>
            </w: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761" w:type="dxa"/>
            <w:gridSpan w:val="2"/>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8" w:hRule="atLeast"/>
        </w:trPr>
        <w:tc>
          <w:tcPr>
            <w:tcW w:w="170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主</w:t>
            </w:r>
            <w:r>
              <w:rPr>
                <w:b w:val="0"/>
                <w:bCs/>
              </w:rPr>
              <w:t xml:space="preserve"> </w:t>
            </w:r>
            <w:r>
              <w:rPr>
                <w:rFonts w:hint="eastAsia"/>
                <w:b w:val="0"/>
                <w:bCs/>
              </w:rPr>
              <w:t>要</w:t>
            </w:r>
            <w:r>
              <w:rPr>
                <w:b w:val="0"/>
                <w:bCs/>
              </w:rPr>
              <w:t xml:space="preserve"> </w:t>
            </w:r>
            <w:r>
              <w:rPr>
                <w:rFonts w:hint="eastAsia"/>
                <w:b w:val="0"/>
                <w:bCs/>
              </w:rPr>
              <w:t>货</w:t>
            </w:r>
            <w:r>
              <w:rPr>
                <w:b w:val="0"/>
                <w:bCs/>
              </w:rPr>
              <w:t xml:space="preserve">  </w:t>
            </w:r>
            <w:r>
              <w:rPr>
                <w:rFonts w:hint="eastAsia"/>
                <w:b w:val="0"/>
                <w:bCs/>
              </w:rPr>
              <w:t>物</w:t>
            </w:r>
            <w:r>
              <w:rPr>
                <w:b w:val="0"/>
                <w:bCs/>
              </w:rPr>
              <w:t xml:space="preserve"> </w:t>
            </w:r>
            <w:r>
              <w:rPr>
                <w:rFonts w:hint="eastAsia"/>
                <w:b w:val="0"/>
                <w:bCs/>
              </w:rPr>
              <w:t>状</w:t>
            </w:r>
            <w:r>
              <w:rPr>
                <w:b w:val="0"/>
                <w:bCs/>
              </w:rPr>
              <w:t xml:space="preserve"> </w:t>
            </w:r>
            <w:r>
              <w:rPr>
                <w:rFonts w:hint="eastAsia"/>
                <w:b w:val="0"/>
                <w:bCs/>
              </w:rPr>
              <w:t>况</w:t>
            </w:r>
          </w:p>
        </w:tc>
        <w:tc>
          <w:tcPr>
            <w:tcW w:w="936"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货物</w:t>
            </w:r>
          </w:p>
          <w:p>
            <w:pPr>
              <w:jc w:val="center"/>
              <w:rPr>
                <w:b w:val="0"/>
                <w:bCs/>
              </w:rPr>
            </w:pPr>
            <w:r>
              <w:rPr>
                <w:rFonts w:hint="eastAsia"/>
                <w:b w:val="0"/>
                <w:bCs/>
              </w:rPr>
              <w:t>名称</w:t>
            </w:r>
          </w:p>
        </w:tc>
        <w:tc>
          <w:tcPr>
            <w:tcW w:w="165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上年产量</w:t>
            </w:r>
          </w:p>
        </w:tc>
        <w:tc>
          <w:tcPr>
            <w:tcW w:w="165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上年销售值</w:t>
            </w:r>
          </w:p>
          <w:p>
            <w:pPr>
              <w:jc w:val="center"/>
              <w:rPr>
                <w:b w:val="0"/>
                <w:bCs/>
              </w:rPr>
            </w:pPr>
            <w:r>
              <w:rPr>
                <w:rFonts w:hint="eastAsia"/>
                <w:b w:val="0"/>
                <w:bCs/>
              </w:rPr>
              <w:t>（万元）</w:t>
            </w:r>
          </w:p>
        </w:tc>
        <w:tc>
          <w:tcPr>
            <w:tcW w:w="342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主要用户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8" w:hRule="atLeas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val="0"/>
                <w:bCs/>
              </w:rPr>
            </w:pPr>
          </w:p>
        </w:tc>
        <w:tc>
          <w:tcPr>
            <w:tcW w:w="936" w:type="dxa"/>
            <w:tcBorders>
              <w:top w:val="single" w:color="auto" w:sz="4" w:space="0"/>
              <w:left w:val="single" w:color="auto" w:sz="4" w:space="0"/>
              <w:bottom w:val="single" w:color="auto" w:sz="4" w:space="0"/>
              <w:right w:val="single" w:color="auto" w:sz="4" w:space="0"/>
            </w:tcBorders>
            <w:noWrap w:val="0"/>
            <w:vAlign w:val="top"/>
          </w:tcPr>
          <w:p>
            <w:pPr>
              <w:rPr>
                <w:b w:val="0"/>
                <w:bCs/>
              </w:rPr>
            </w:pP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rPr>
                <w:b w:val="0"/>
                <w:bCs/>
              </w:rPr>
            </w:pP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rPr>
                <w:b w:val="0"/>
                <w:bCs/>
              </w:rPr>
            </w:pPr>
          </w:p>
        </w:tc>
        <w:tc>
          <w:tcPr>
            <w:tcW w:w="3420" w:type="dxa"/>
            <w:gridSpan w:val="5"/>
            <w:tcBorders>
              <w:top w:val="single" w:color="auto" w:sz="4" w:space="0"/>
              <w:left w:val="single" w:color="auto" w:sz="4" w:space="0"/>
              <w:bottom w:val="single" w:color="auto" w:sz="4" w:space="0"/>
              <w:right w:val="single" w:color="auto" w:sz="4" w:space="0"/>
            </w:tcBorders>
            <w:noWrap w:val="0"/>
            <w:vAlign w:val="top"/>
          </w:tcPr>
          <w:p>
            <w:pPr>
              <w:rPr>
                <w:b w:val="0"/>
                <w:bCs/>
              </w:rPr>
            </w:pPr>
          </w:p>
        </w:tc>
      </w:tr>
    </w:tbl>
    <w:p>
      <w:pPr>
        <w:ind w:firstLine="5541" w:firstLineChars="2639"/>
        <w:jc w:val="right"/>
        <w:rPr>
          <w:rFonts w:hint="eastAsia"/>
          <w:b w:val="0"/>
          <w:bCs/>
        </w:rPr>
      </w:pPr>
      <w:r>
        <w:rPr>
          <w:rFonts w:hint="eastAsia"/>
          <w:b w:val="0"/>
          <w:bCs/>
        </w:rPr>
        <w:t>纸面不敷时，可以另加页</w:t>
      </w:r>
    </w:p>
    <w:p>
      <w:pPr>
        <w:pStyle w:val="6"/>
        <w:spacing w:before="120" w:beforeLines="50" w:after="120" w:afterLines="50"/>
        <w:rPr>
          <w:rFonts w:hint="default"/>
          <w:b w:val="0"/>
          <w:lang w:val="en-US" w:eastAsia="zh-CN"/>
        </w:rPr>
      </w:pPr>
      <w:r>
        <w:rPr>
          <w:rFonts w:hint="eastAsia"/>
          <w:b w:val="0"/>
          <w:bCs/>
        </w:rPr>
        <w:br w:type="page"/>
      </w:r>
      <w:bookmarkStart w:id="604" w:name="_Toc10244"/>
      <w:bookmarkStart w:id="605" w:name="_Toc9184"/>
      <w:bookmarkStart w:id="606" w:name="_Toc302"/>
      <w:r>
        <w:rPr>
          <w:rFonts w:hint="eastAsia"/>
          <w:b w:val="0"/>
          <w:lang w:val="zh-CN"/>
        </w:rPr>
        <w:t>附件</w:t>
      </w:r>
      <w:r>
        <w:rPr>
          <w:rFonts w:hint="eastAsia"/>
          <w:b w:val="0"/>
          <w:lang w:val="en-US" w:eastAsia="zh-CN"/>
        </w:rPr>
        <w:t>3-12</w:t>
      </w:r>
      <w:bookmarkEnd w:id="604"/>
      <w:bookmarkEnd w:id="605"/>
      <w:r>
        <w:rPr>
          <w:rFonts w:hint="eastAsia"/>
          <w:b w:val="0"/>
          <w:lang w:val="en-US" w:eastAsia="zh-CN"/>
        </w:rPr>
        <w:t xml:space="preserve"> 主要股东或出资人信息</w:t>
      </w:r>
    </w:p>
    <w:p>
      <w:pPr>
        <w:spacing w:before="120" w:beforeLines="50" w:after="120" w:afterLines="50" w:line="560" w:lineRule="exact"/>
        <w:jc w:val="center"/>
        <w:rPr>
          <w:rFonts w:hint="eastAsia" w:ascii="黑体" w:hAnsi="黑体" w:eastAsia="黑体" w:cs="黑体"/>
          <w:bCs/>
          <w:sz w:val="36"/>
          <w:szCs w:val="36"/>
          <w:lang w:val="zh-CN"/>
        </w:rPr>
      </w:pPr>
      <w:bookmarkStart w:id="607" w:name="_Toc14018"/>
      <w:r>
        <w:rPr>
          <w:rFonts w:hint="eastAsia" w:ascii="黑体" w:hAnsi="黑体" w:eastAsia="黑体" w:cs="黑体"/>
          <w:bCs/>
          <w:sz w:val="36"/>
          <w:szCs w:val="36"/>
          <w:lang w:val="zh-CN"/>
        </w:rPr>
        <w:t>主要股东或出资人信息</w:t>
      </w:r>
      <w:bookmarkEnd w:id="607"/>
    </w:p>
    <w:tbl>
      <w:tblPr>
        <w:tblStyle w:val="4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0"/>
        <w:gridCol w:w="1287"/>
        <w:gridCol w:w="2340"/>
        <w:gridCol w:w="1404"/>
        <w:gridCol w:w="1493"/>
        <w:gridCol w:w="1315"/>
        <w:gridCol w:w="9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6" w:hRule="atLeast"/>
        </w:trPr>
        <w:tc>
          <w:tcPr>
            <w:tcW w:w="810" w:type="dxa"/>
            <w:noWrap w:val="0"/>
            <w:vAlign w:val="center"/>
          </w:tcPr>
          <w:p>
            <w:pPr>
              <w:jc w:val="center"/>
            </w:pPr>
            <w:r>
              <w:t>序号</w:t>
            </w:r>
          </w:p>
        </w:tc>
        <w:tc>
          <w:tcPr>
            <w:tcW w:w="1287" w:type="dxa"/>
            <w:noWrap w:val="0"/>
            <w:vAlign w:val="center"/>
          </w:tcPr>
          <w:p>
            <w:pPr>
              <w:jc w:val="center"/>
            </w:pPr>
            <w:r>
              <w:t>名称</w:t>
            </w:r>
          </w:p>
          <w:p>
            <w:pPr>
              <w:jc w:val="center"/>
            </w:pPr>
            <w:r>
              <w:t>（姓名）</w:t>
            </w:r>
          </w:p>
        </w:tc>
        <w:tc>
          <w:tcPr>
            <w:tcW w:w="2340" w:type="dxa"/>
            <w:noWrap w:val="0"/>
            <w:vAlign w:val="center"/>
          </w:tcPr>
          <w:p>
            <w:pPr>
              <w:jc w:val="center"/>
            </w:pPr>
            <w:r>
              <w:t>统一社会信用代码</w:t>
            </w:r>
          </w:p>
          <w:p>
            <w:pPr>
              <w:jc w:val="center"/>
            </w:pPr>
            <w:r>
              <w:t>（身份证号）</w:t>
            </w:r>
          </w:p>
        </w:tc>
        <w:tc>
          <w:tcPr>
            <w:tcW w:w="1404" w:type="dxa"/>
            <w:noWrap w:val="0"/>
            <w:vAlign w:val="center"/>
          </w:tcPr>
          <w:p>
            <w:pPr>
              <w:jc w:val="center"/>
            </w:pPr>
            <w:r>
              <w:t>出资方式</w:t>
            </w:r>
          </w:p>
        </w:tc>
        <w:tc>
          <w:tcPr>
            <w:tcW w:w="1493" w:type="dxa"/>
            <w:noWrap w:val="0"/>
            <w:vAlign w:val="center"/>
          </w:tcPr>
          <w:p>
            <w:pPr>
              <w:jc w:val="center"/>
            </w:pPr>
            <w:r>
              <w:t>出资金额</w:t>
            </w:r>
          </w:p>
          <w:p>
            <w:pPr>
              <w:jc w:val="center"/>
            </w:pPr>
            <w:r>
              <w:t>（万元）</w:t>
            </w:r>
          </w:p>
        </w:tc>
        <w:tc>
          <w:tcPr>
            <w:tcW w:w="1315" w:type="dxa"/>
            <w:noWrap w:val="0"/>
            <w:vAlign w:val="center"/>
          </w:tcPr>
          <w:p>
            <w:pPr>
              <w:jc w:val="center"/>
            </w:pPr>
            <w:r>
              <w:t>占全部股份比例</w:t>
            </w:r>
          </w:p>
        </w:tc>
        <w:tc>
          <w:tcPr>
            <w:tcW w:w="957" w:type="dxa"/>
            <w:noWrap w:val="0"/>
            <w:vAlign w:val="center"/>
          </w:tcPr>
          <w:p>
            <w:pPr>
              <w:jc w:val="center"/>
            </w:pPr>
            <w: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bl>
    <w:p>
      <w:pPr>
        <w:spacing w:line="480" w:lineRule="exact"/>
        <w:ind w:firstLine="560" w:firstLineChars="200"/>
        <w:rPr>
          <w:sz w:val="28"/>
          <w:szCs w:val="28"/>
        </w:rPr>
      </w:pPr>
      <w:r>
        <w:rPr>
          <w:rFonts w:hint="eastAsia"/>
          <w:sz w:val="28"/>
          <w:szCs w:val="28"/>
        </w:rPr>
        <w:t>我方承诺，以上信息真实可靠，如填报的股东出资额、出资比例等与实际不符，视为放弃</w:t>
      </w:r>
      <w:r>
        <w:rPr>
          <w:rFonts w:hint="eastAsia"/>
          <w:sz w:val="28"/>
          <w:szCs w:val="28"/>
          <w:lang w:eastAsia="zh-CN"/>
        </w:rPr>
        <w:t>成交</w:t>
      </w:r>
      <w:r>
        <w:rPr>
          <w:rFonts w:hint="eastAsia"/>
          <w:sz w:val="28"/>
          <w:szCs w:val="28"/>
        </w:rPr>
        <w:t>资格。</w:t>
      </w:r>
    </w:p>
    <w:p>
      <w:pPr>
        <w:spacing w:line="480" w:lineRule="exact"/>
        <w:ind w:firstLine="560" w:firstLineChars="200"/>
        <w:rPr>
          <w:rFonts w:hint="eastAsia"/>
          <w:sz w:val="28"/>
          <w:szCs w:val="28"/>
        </w:rPr>
      </w:pPr>
    </w:p>
    <w:p>
      <w:pPr>
        <w:snapToGrid w:val="0"/>
        <w:spacing w:line="440" w:lineRule="exact"/>
        <w:ind w:left="840" w:hanging="840" w:hangingChars="300"/>
        <w:rPr>
          <w:rFonts w:hint="eastAsia" w:ascii="宋体" w:hAnsi="宋体"/>
          <w:sz w:val="28"/>
          <w:szCs w:val="28"/>
        </w:rPr>
      </w:pPr>
      <w:r>
        <w:rPr>
          <w:rFonts w:hint="eastAsia" w:ascii="宋体" w:hAnsi="宋体"/>
          <w:sz w:val="28"/>
          <w:szCs w:val="28"/>
        </w:rPr>
        <w:t>备</w:t>
      </w:r>
      <w:r>
        <w:rPr>
          <w:rFonts w:ascii="宋体" w:hAnsi="宋体"/>
          <w:sz w:val="28"/>
          <w:szCs w:val="28"/>
        </w:rPr>
        <w:t>注：</w:t>
      </w:r>
    </w:p>
    <w:p>
      <w:pPr>
        <w:spacing w:line="480" w:lineRule="exact"/>
        <w:ind w:firstLine="560" w:firstLineChars="200"/>
        <w:rPr>
          <w:sz w:val="28"/>
          <w:szCs w:val="28"/>
        </w:rPr>
      </w:pPr>
      <w:r>
        <w:rPr>
          <w:sz w:val="28"/>
          <w:szCs w:val="28"/>
        </w:rPr>
        <w:t>1.主要股东或出资人为法人的，填写法人全称及统一社会信用代码（尚未办理三证合一的填写组织机构代码）；为自然人的，填写自然人姓名和身份证号。</w:t>
      </w:r>
    </w:p>
    <w:p>
      <w:pPr>
        <w:spacing w:line="480" w:lineRule="exact"/>
        <w:ind w:firstLine="560" w:firstLineChars="200"/>
        <w:rPr>
          <w:rFonts w:hint="eastAsia"/>
          <w:sz w:val="28"/>
          <w:szCs w:val="28"/>
        </w:rPr>
      </w:pPr>
      <w:r>
        <w:rPr>
          <w:rFonts w:hint="eastAsia"/>
          <w:sz w:val="28"/>
          <w:szCs w:val="28"/>
        </w:rPr>
        <w:t>2.</w:t>
      </w:r>
      <w:r>
        <w:rPr>
          <w:sz w:val="28"/>
          <w:szCs w:val="28"/>
        </w:rPr>
        <w:t>出资方式填写货币、实物、工艺产权和非专利技术、土地使用权等</w:t>
      </w:r>
      <w:r>
        <w:rPr>
          <w:rFonts w:hint="eastAsia"/>
          <w:sz w:val="28"/>
          <w:szCs w:val="28"/>
        </w:rPr>
        <w:t>。</w:t>
      </w:r>
    </w:p>
    <w:p>
      <w:pPr>
        <w:spacing w:line="480" w:lineRule="exact"/>
        <w:ind w:firstLine="560" w:firstLineChars="200"/>
        <w:rPr>
          <w:sz w:val="28"/>
          <w:szCs w:val="28"/>
        </w:rPr>
      </w:pPr>
      <w:r>
        <w:rPr>
          <w:rFonts w:hint="eastAsia"/>
          <w:sz w:val="28"/>
          <w:szCs w:val="28"/>
        </w:rPr>
        <w:t>3.</w:t>
      </w:r>
      <w:r>
        <w:rPr>
          <w:rFonts w:hint="eastAsia"/>
          <w:sz w:val="28"/>
          <w:szCs w:val="28"/>
          <w:lang w:eastAsia="zh-CN"/>
        </w:rPr>
        <w:t>报价</w:t>
      </w:r>
      <w:r>
        <w:rPr>
          <w:sz w:val="28"/>
          <w:szCs w:val="28"/>
        </w:rPr>
        <w:t>供应商应按照占全部股份比例从大到小依次逐个股东填写，</w:t>
      </w:r>
      <w:r>
        <w:rPr>
          <w:rFonts w:hint="eastAsia"/>
          <w:sz w:val="28"/>
          <w:szCs w:val="28"/>
        </w:rPr>
        <w:t>股东 数量多于10个的，填写前10名，不足10个的全部填写。</w:t>
      </w:r>
    </w:p>
    <w:p>
      <w:pPr>
        <w:spacing w:line="480" w:lineRule="exact"/>
        <w:ind w:left="525" w:leftChars="200" w:hanging="105" w:hangingChars="50"/>
      </w:pPr>
    </w:p>
    <w:p>
      <w:pPr>
        <w:spacing w:line="480" w:lineRule="exact"/>
        <w:ind w:left="525" w:leftChars="200" w:hanging="105" w:hangingChars="50"/>
      </w:pPr>
    </w:p>
    <w:p>
      <w:pPr>
        <w:jc w:val="center"/>
        <w:rPr>
          <w:sz w:val="28"/>
          <w:szCs w:val="28"/>
          <w:lang w:val="zh-CN"/>
        </w:rPr>
      </w:pPr>
      <w:r>
        <w:rPr>
          <w:rFonts w:hint="eastAsia"/>
          <w:sz w:val="28"/>
          <w:szCs w:val="28"/>
          <w:lang w:val="zh-CN"/>
        </w:rPr>
        <w:t xml:space="preserve">    报价</w:t>
      </w:r>
      <w:r>
        <w:rPr>
          <w:sz w:val="28"/>
          <w:szCs w:val="28"/>
          <w:lang w:val="zh-CN"/>
        </w:rPr>
        <w:t>供应商全称：（盖章）</w:t>
      </w:r>
    </w:p>
    <w:p>
      <w:pPr>
        <w:jc w:val="center"/>
        <w:rPr>
          <w:sz w:val="28"/>
          <w:szCs w:val="28"/>
          <w:lang w:val="zh-CN"/>
        </w:rPr>
      </w:pPr>
      <w:r>
        <w:rPr>
          <w:sz w:val="28"/>
          <w:szCs w:val="28"/>
          <w:lang w:val="zh-CN"/>
        </w:rPr>
        <w:t xml:space="preserve">              法定代表人（或授权代表）：（签字）</w:t>
      </w:r>
    </w:p>
    <w:p>
      <w:pPr>
        <w:ind w:firstLine="5740" w:firstLineChars="2050"/>
        <w:rPr>
          <w:rFonts w:eastAsia="黑体"/>
          <w:sz w:val="28"/>
          <w:szCs w:val="28"/>
        </w:rPr>
      </w:pP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rPr>
          <w:rFonts w:hint="eastAsia" w:eastAsia="黑体"/>
          <w:b w:val="0"/>
          <w:bCs w:val="0"/>
          <w:kern w:val="0"/>
          <w:sz w:val="28"/>
          <w:szCs w:val="28"/>
        </w:rPr>
      </w:pPr>
      <w:r>
        <w:rPr>
          <w:rFonts w:hint="eastAsia" w:eastAsia="黑体"/>
          <w:b w:val="0"/>
          <w:bCs w:val="0"/>
          <w:kern w:val="0"/>
          <w:sz w:val="28"/>
          <w:szCs w:val="28"/>
        </w:rPr>
        <w:br w:type="page"/>
      </w:r>
    </w:p>
    <w:bookmarkEnd w:id="606"/>
    <w:p/>
    <w:p>
      <w:pPr>
        <w:pStyle w:val="6"/>
        <w:spacing w:before="120" w:beforeLines="50" w:after="120" w:afterLines="50"/>
        <w:rPr>
          <w:rFonts w:hint="eastAsia"/>
          <w:b w:val="0"/>
          <w:lang w:val="zh-CN"/>
        </w:rPr>
      </w:pPr>
      <w:bookmarkStart w:id="608" w:name="_Toc13444"/>
      <w:bookmarkStart w:id="609" w:name="_Toc23109"/>
      <w:r>
        <w:rPr>
          <w:rFonts w:hint="eastAsia"/>
          <w:b w:val="0"/>
          <w:lang w:val="zh-CN"/>
        </w:rPr>
        <w:t>附件</w:t>
      </w:r>
      <w:r>
        <w:rPr>
          <w:rFonts w:hint="eastAsia"/>
          <w:b w:val="0"/>
          <w:lang w:val="en-US" w:eastAsia="zh-CN"/>
        </w:rPr>
        <w:t>3-13</w:t>
      </w:r>
      <w:r>
        <w:rPr>
          <w:rFonts w:hint="eastAsia"/>
          <w:b w:val="0"/>
          <w:lang w:val="zh-CN"/>
        </w:rPr>
        <w:t>特定资格条件证明材料</w:t>
      </w:r>
      <w:bookmarkEnd w:id="608"/>
      <w:bookmarkEnd w:id="609"/>
    </w:p>
    <w:p>
      <w:pPr>
        <w:spacing w:before="120" w:beforeLines="50" w:after="120" w:afterLines="50" w:line="560" w:lineRule="exact"/>
        <w:jc w:val="center"/>
        <w:rPr>
          <w:rFonts w:hint="eastAsia" w:ascii="黑体" w:hAnsi="黑体" w:eastAsia="黑体" w:cs="黑体"/>
          <w:bCs/>
          <w:sz w:val="36"/>
          <w:szCs w:val="36"/>
          <w:lang w:val="zh-CN"/>
        </w:rPr>
      </w:pPr>
      <w:r>
        <w:rPr>
          <w:rFonts w:hint="eastAsia" w:ascii="黑体" w:hAnsi="黑体" w:eastAsia="黑体" w:cs="黑体"/>
          <w:bCs/>
          <w:sz w:val="36"/>
          <w:szCs w:val="36"/>
          <w:lang w:val="zh-CN"/>
        </w:rPr>
        <w:t>特定资格条件证明材料</w:t>
      </w:r>
    </w:p>
    <w:p>
      <w:pPr>
        <w:ind w:firstLine="422"/>
        <w:rPr>
          <w:rFonts w:hint="eastAsia" w:ascii="宋体" w:hAnsi="宋体" w:cs="宋体"/>
          <w:sz w:val="28"/>
          <w:szCs w:val="28"/>
          <w:highlight w:val="none"/>
        </w:rPr>
      </w:pPr>
      <w:r>
        <w:rPr>
          <w:rFonts w:hint="eastAsia" w:ascii="宋体" w:hAnsi="宋体" w:cs="宋体"/>
          <w:b/>
          <w:bCs/>
          <w:sz w:val="28"/>
          <w:szCs w:val="28"/>
        </w:rPr>
        <w:t>注：</w:t>
      </w:r>
      <w:r>
        <w:rPr>
          <w:rFonts w:hint="eastAsia" w:ascii="宋体" w:hAnsi="宋体" w:cs="宋体"/>
          <w:sz w:val="28"/>
          <w:szCs w:val="28"/>
          <w:lang w:eastAsia="zh-CN"/>
        </w:rPr>
        <w:t>报价</w:t>
      </w:r>
      <w:r>
        <w:rPr>
          <w:rFonts w:hint="eastAsia" w:ascii="宋体" w:hAnsi="宋体" w:cs="宋体"/>
          <w:sz w:val="28"/>
          <w:szCs w:val="28"/>
        </w:rPr>
        <w:t>人需按本</w:t>
      </w:r>
      <w:r>
        <w:rPr>
          <w:rFonts w:hint="eastAsia" w:ascii="宋体" w:hAnsi="宋体" w:cs="宋体"/>
          <w:sz w:val="28"/>
          <w:szCs w:val="28"/>
          <w:lang w:eastAsia="zh-CN"/>
        </w:rPr>
        <w:t>谈判</w:t>
      </w:r>
      <w:r>
        <w:rPr>
          <w:rFonts w:hint="eastAsia" w:ascii="宋体" w:hAnsi="宋体" w:cs="宋体"/>
          <w:sz w:val="28"/>
          <w:szCs w:val="28"/>
        </w:rPr>
        <w:t>文件</w:t>
      </w:r>
      <w:r>
        <w:rPr>
          <w:rFonts w:hint="eastAsia" w:ascii="宋体" w:hAnsi="宋体" w:cs="宋体"/>
          <w:sz w:val="28"/>
          <w:szCs w:val="28"/>
          <w:highlight w:val="none"/>
        </w:rPr>
        <w:t>“第</w:t>
      </w:r>
      <w:r>
        <w:rPr>
          <w:rFonts w:hint="eastAsia" w:ascii="宋体" w:hAnsi="宋体" w:cs="宋体"/>
          <w:sz w:val="28"/>
          <w:szCs w:val="28"/>
          <w:highlight w:val="none"/>
          <w:lang w:val="en-US" w:eastAsia="zh-CN"/>
        </w:rPr>
        <w:t>四章</w:t>
      </w:r>
      <w:r>
        <w:rPr>
          <w:rFonts w:hint="eastAsia" w:ascii="宋体" w:hAnsi="宋体" w:cs="宋体"/>
          <w:sz w:val="28"/>
          <w:szCs w:val="28"/>
          <w:highlight w:val="none"/>
        </w:rPr>
        <w:t xml:space="preserve"> </w:t>
      </w:r>
      <w:r>
        <w:rPr>
          <w:rFonts w:hint="eastAsia" w:ascii="宋体" w:hAnsi="宋体" w:cs="宋体"/>
          <w:sz w:val="28"/>
          <w:szCs w:val="28"/>
          <w:highlight w:val="none"/>
          <w:lang w:eastAsia="zh-CN"/>
        </w:rPr>
        <w:t>谈判</w:t>
      </w:r>
      <w:r>
        <w:rPr>
          <w:rFonts w:hint="eastAsia" w:ascii="宋体" w:hAnsi="宋体" w:cs="宋体"/>
          <w:sz w:val="28"/>
          <w:szCs w:val="28"/>
          <w:highlight w:val="none"/>
        </w:rPr>
        <w:t>公告”——“（六）特定资格条件”要求提供相关证明材料。</w:t>
      </w:r>
    </w:p>
    <w:p>
      <w:pPr>
        <w:ind w:firstLine="422"/>
        <w:rPr>
          <w:rFonts w:hint="eastAsia" w:ascii="宋体" w:hAnsi="宋体" w:cs="宋体"/>
          <w:sz w:val="28"/>
          <w:szCs w:val="28"/>
        </w:rPr>
      </w:pPr>
      <w:r>
        <w:rPr>
          <w:rFonts w:hint="eastAsia" w:ascii="宋体" w:hAnsi="宋体" w:cs="宋体"/>
          <w:sz w:val="28"/>
          <w:szCs w:val="28"/>
          <w:highlight w:val="none"/>
        </w:rPr>
        <w:t>其中产品授权按以下要求提</w:t>
      </w:r>
      <w:r>
        <w:rPr>
          <w:rFonts w:hint="eastAsia" w:ascii="宋体" w:hAnsi="宋体" w:cs="宋体"/>
          <w:sz w:val="28"/>
          <w:szCs w:val="28"/>
        </w:rPr>
        <w:t>供资料：报价产品为进口产品必须提供产品授权文件，国产产品可以从以下方式中进行选择。</w:t>
      </w:r>
    </w:p>
    <w:p>
      <w:pPr>
        <w:pStyle w:val="17"/>
        <w:ind w:firstLine="0"/>
        <w:rPr>
          <w:rFonts w:hint="eastAsia" w:ascii="宋体" w:hAnsi="宋体" w:cs="宋体"/>
          <w:sz w:val="28"/>
          <w:szCs w:val="28"/>
        </w:rPr>
      </w:pPr>
      <w:r>
        <w:rPr>
          <w:rFonts w:hint="eastAsia" w:ascii="宋体" w:hAnsi="宋体" w:cs="宋体"/>
          <w:sz w:val="28"/>
          <w:szCs w:val="28"/>
        </w:rPr>
        <w:t>方式一：授权文件证明材料：</w:t>
      </w:r>
    </w:p>
    <w:p>
      <w:pPr>
        <w:rPr>
          <w:rFonts w:hint="eastAsia" w:ascii="宋体" w:hAnsi="宋体" w:cs="宋体"/>
          <w:sz w:val="28"/>
          <w:szCs w:val="28"/>
        </w:rPr>
      </w:pPr>
    </w:p>
    <w:p>
      <w:pPr>
        <w:pStyle w:val="16"/>
        <w:rPr>
          <w:rFonts w:hint="eastAsia" w:ascii="宋体" w:hAnsi="宋体" w:cs="宋体"/>
          <w:sz w:val="28"/>
          <w:szCs w:val="28"/>
        </w:rPr>
      </w:pPr>
    </w:p>
    <w:p>
      <w:pPr>
        <w:pStyle w:val="17"/>
        <w:rPr>
          <w:rFonts w:hint="eastAsia" w:ascii="宋体" w:hAnsi="宋体" w:cs="宋体"/>
          <w:sz w:val="28"/>
          <w:szCs w:val="28"/>
        </w:rPr>
      </w:pPr>
    </w:p>
    <w:p>
      <w:pPr>
        <w:rPr>
          <w:rFonts w:hint="eastAsia" w:ascii="宋体" w:hAnsi="宋体" w:cs="宋体"/>
          <w:sz w:val="28"/>
          <w:szCs w:val="28"/>
        </w:rPr>
      </w:pPr>
    </w:p>
    <w:p>
      <w:pPr>
        <w:pStyle w:val="16"/>
        <w:rPr>
          <w:rFonts w:hint="eastAsia"/>
        </w:rPr>
      </w:pPr>
    </w:p>
    <w:p>
      <w:pPr>
        <w:rPr>
          <w:rFonts w:hint="eastAsia" w:ascii="宋体" w:hAnsi="宋体" w:cs="宋体"/>
          <w:sz w:val="28"/>
          <w:szCs w:val="28"/>
        </w:rPr>
      </w:pPr>
      <w:r>
        <w:rPr>
          <w:rFonts w:hint="eastAsia" w:ascii="宋体" w:hAnsi="宋体" w:cs="宋体"/>
          <w:sz w:val="28"/>
          <w:szCs w:val="28"/>
        </w:rPr>
        <w:t>方式二：授权承诺函（本次报价中未能提供产品授权委托书，且为国产产品可填写授权承诺函）</w:t>
      </w:r>
    </w:p>
    <w:p>
      <w:pPr>
        <w:pStyle w:val="17"/>
        <w:rPr>
          <w:rFonts w:hint="eastAsia" w:ascii="宋体" w:hAnsi="宋体" w:cs="宋体"/>
          <w:sz w:val="28"/>
          <w:szCs w:val="28"/>
        </w:rPr>
      </w:pPr>
    </w:p>
    <w:p>
      <w:pPr>
        <w:jc w:val="center"/>
        <w:rPr>
          <w:rFonts w:hint="eastAsia" w:ascii="宋体" w:hAnsi="宋体" w:cs="宋体"/>
          <w:sz w:val="28"/>
          <w:szCs w:val="28"/>
        </w:rPr>
      </w:pPr>
      <w:r>
        <w:rPr>
          <w:rFonts w:hint="eastAsia" w:ascii="宋体" w:hAnsi="宋体" w:cs="宋体"/>
          <w:sz w:val="28"/>
          <w:szCs w:val="28"/>
        </w:rPr>
        <w:t>承诺函</w:t>
      </w:r>
    </w:p>
    <w:p>
      <w:pPr>
        <w:rPr>
          <w:rFonts w:hint="eastAsia" w:ascii="宋体" w:hAnsi="宋体" w:cs="宋体"/>
          <w:color w:val="000000"/>
          <w:sz w:val="28"/>
          <w:szCs w:val="28"/>
          <w:lang w:val="zh-CN"/>
        </w:rPr>
      </w:pPr>
      <w:r>
        <w:rPr>
          <w:rFonts w:hint="eastAsia" w:ascii="宋体" w:hAnsi="宋体" w:cs="宋体"/>
          <w:color w:val="000000"/>
          <w:sz w:val="28"/>
          <w:szCs w:val="28"/>
          <w:lang w:val="zh-CN"/>
        </w:rPr>
        <w:t>致：</w:t>
      </w:r>
      <w:r>
        <w:rPr>
          <w:rFonts w:hint="eastAsia" w:ascii="宋体" w:hAnsi="宋体" w:cs="宋体"/>
          <w:color w:val="000000"/>
          <w:sz w:val="28"/>
          <w:szCs w:val="28"/>
          <w:u w:val="single"/>
          <w:lang w:val="zh-CN"/>
        </w:rPr>
        <w:t>新桥医院</w:t>
      </w:r>
    </w:p>
    <w:p>
      <w:pPr>
        <w:ind w:firstLine="560" w:firstLineChars="200"/>
        <w:rPr>
          <w:rFonts w:hint="eastAsia" w:ascii="宋体" w:hAnsi="宋体" w:cs="宋体"/>
          <w:sz w:val="28"/>
          <w:szCs w:val="28"/>
        </w:rPr>
      </w:pPr>
      <w:r>
        <w:rPr>
          <w:rFonts w:hint="eastAsia" w:ascii="宋体" w:hAnsi="宋体" w:cs="宋体"/>
          <w:sz w:val="28"/>
          <w:szCs w:val="28"/>
        </w:rPr>
        <w:t>我公司本次报价中未提供产品授权委托书（国产物资），</w:t>
      </w:r>
      <w:r>
        <w:rPr>
          <w:rFonts w:hint="eastAsia" w:ascii="宋体" w:hAnsi="宋体" w:cs="宋体"/>
          <w:sz w:val="28"/>
          <w:szCs w:val="28"/>
          <w:lang w:val="zh-CN"/>
        </w:rPr>
        <w:t>为保证售后服务质量，我公司将在合同签订前提供生产厂家对报价产品的授权委托书，如无法提供则做废标处理</w:t>
      </w:r>
      <w:r>
        <w:rPr>
          <w:rFonts w:hint="eastAsia" w:ascii="宋体" w:hAnsi="宋体" w:cs="宋体"/>
          <w:sz w:val="28"/>
          <w:szCs w:val="28"/>
        </w:rPr>
        <w:t>,并且接受医院按照相关规定进行处罚</w:t>
      </w:r>
      <w:r>
        <w:rPr>
          <w:rFonts w:hint="eastAsia" w:ascii="宋体" w:hAnsi="宋体" w:cs="宋体"/>
          <w:sz w:val="28"/>
          <w:szCs w:val="28"/>
          <w:lang w:val="zh-CN"/>
        </w:rPr>
        <w:t>。</w:t>
      </w:r>
    </w:p>
    <w:p>
      <w:pPr>
        <w:ind w:firstLine="420"/>
        <w:rPr>
          <w:rFonts w:hint="eastAsia" w:ascii="宋体" w:hAnsi="宋体" w:cs="宋体"/>
          <w:sz w:val="28"/>
          <w:szCs w:val="28"/>
        </w:rPr>
      </w:pPr>
      <w:r>
        <w:rPr>
          <w:rFonts w:hint="eastAsia" w:ascii="宋体" w:hAnsi="宋体" w:cs="宋体"/>
          <w:sz w:val="28"/>
          <w:szCs w:val="28"/>
        </w:rPr>
        <w:t>特此承诺。</w:t>
      </w:r>
    </w:p>
    <w:p>
      <w:pPr>
        <w:pStyle w:val="17"/>
        <w:rPr>
          <w:rFonts w:hint="eastAsia" w:ascii="宋体" w:hAnsi="宋体" w:cs="宋体"/>
          <w:sz w:val="28"/>
          <w:szCs w:val="28"/>
        </w:rPr>
      </w:pPr>
    </w:p>
    <w:p>
      <w:pPr>
        <w:ind w:firstLine="3640" w:firstLineChars="1300"/>
        <w:rPr>
          <w:rFonts w:hint="eastAsia" w:ascii="宋体" w:hAnsi="宋体" w:cs="宋体"/>
          <w:color w:val="000000"/>
          <w:sz w:val="28"/>
          <w:szCs w:val="28"/>
        </w:rPr>
      </w:pPr>
      <w:r>
        <w:rPr>
          <w:rFonts w:hint="eastAsia" w:ascii="宋体" w:hAnsi="宋体" w:cs="宋体"/>
          <w:color w:val="000000"/>
          <w:sz w:val="28"/>
          <w:szCs w:val="28"/>
        </w:rPr>
        <w:t>报价方全称：</w:t>
      </w:r>
      <w:r>
        <w:rPr>
          <w:rFonts w:hint="eastAsia" w:ascii="宋体" w:hAnsi="宋体" w:cs="宋体"/>
          <w:color w:val="000000"/>
          <w:sz w:val="28"/>
          <w:szCs w:val="28"/>
          <w:u w:val="single"/>
        </w:rPr>
        <w:t xml:space="preserve">         </w:t>
      </w:r>
      <w:r>
        <w:rPr>
          <w:rFonts w:hint="eastAsia" w:ascii="宋体" w:hAnsi="宋体" w:cs="宋体"/>
          <w:color w:val="000000"/>
          <w:sz w:val="28"/>
          <w:szCs w:val="28"/>
        </w:rPr>
        <w:t>（盖章）</w:t>
      </w:r>
    </w:p>
    <w:p>
      <w:pPr>
        <w:ind w:firstLine="2240" w:firstLineChars="800"/>
        <w:rPr>
          <w:rFonts w:hint="eastAsia" w:ascii="宋体" w:hAnsi="宋体" w:cs="宋体"/>
          <w:color w:val="000000"/>
          <w:sz w:val="28"/>
          <w:szCs w:val="28"/>
        </w:rPr>
      </w:pPr>
      <w:r>
        <w:rPr>
          <w:rFonts w:hint="eastAsia" w:ascii="宋体" w:hAnsi="宋体" w:cs="宋体"/>
          <w:color w:val="000000"/>
          <w:sz w:val="28"/>
          <w:szCs w:val="28"/>
        </w:rPr>
        <w:t>法定代表人（或授权代表）：</w:t>
      </w:r>
      <w:r>
        <w:rPr>
          <w:rFonts w:hint="eastAsia" w:ascii="宋体" w:hAnsi="宋体" w:cs="宋体"/>
          <w:color w:val="000000"/>
          <w:sz w:val="28"/>
          <w:szCs w:val="28"/>
          <w:u w:val="single"/>
        </w:rPr>
        <w:t xml:space="preserve">        </w:t>
      </w:r>
      <w:r>
        <w:rPr>
          <w:rFonts w:hint="eastAsia" w:ascii="宋体" w:hAnsi="宋体" w:cs="宋体"/>
          <w:color w:val="000000"/>
          <w:sz w:val="28"/>
          <w:szCs w:val="28"/>
        </w:rPr>
        <w:t>（签字）</w:t>
      </w:r>
    </w:p>
    <w:p>
      <w:pPr>
        <w:ind w:firstLine="4264" w:firstLineChars="1523"/>
        <w:rPr>
          <w:rFonts w:hint="eastAsia" w:ascii="宋体" w:hAnsi="宋体" w:cs="宋体"/>
          <w:color w:val="000000"/>
          <w:sz w:val="28"/>
          <w:szCs w:val="28"/>
        </w:rPr>
      </w:pPr>
      <w:r>
        <w:rPr>
          <w:rFonts w:hint="eastAsia" w:ascii="宋体" w:hAnsi="宋体" w:cs="宋体"/>
          <w:color w:val="000000"/>
          <w:sz w:val="28"/>
          <w:szCs w:val="28"/>
        </w:rPr>
        <w:t>日期：</w:t>
      </w:r>
      <w:r>
        <w:rPr>
          <w:rFonts w:hint="eastAsia" w:ascii="宋体" w:hAnsi="宋体" w:cs="宋体"/>
          <w:color w:val="000000"/>
          <w:sz w:val="28"/>
          <w:szCs w:val="28"/>
          <w:u w:val="single"/>
        </w:rPr>
        <w:t xml:space="preserve">       </w:t>
      </w:r>
      <w:r>
        <w:rPr>
          <w:rFonts w:hint="eastAsia" w:ascii="宋体" w:hAnsi="宋体" w:cs="宋体"/>
          <w:color w:val="000000"/>
          <w:sz w:val="28"/>
          <w:szCs w:val="28"/>
        </w:rPr>
        <w:t>年</w:t>
      </w:r>
      <w:r>
        <w:rPr>
          <w:rFonts w:hint="eastAsia" w:ascii="宋体" w:hAnsi="宋体" w:cs="宋体"/>
          <w:color w:val="000000"/>
          <w:sz w:val="28"/>
          <w:szCs w:val="28"/>
          <w:u w:val="single"/>
        </w:rPr>
        <w:t xml:space="preserve">     </w:t>
      </w:r>
      <w:r>
        <w:rPr>
          <w:rFonts w:hint="eastAsia" w:ascii="宋体" w:hAnsi="宋体" w:cs="宋体"/>
          <w:color w:val="000000"/>
          <w:sz w:val="28"/>
          <w:szCs w:val="28"/>
        </w:rPr>
        <w:t>月</w:t>
      </w:r>
      <w:r>
        <w:rPr>
          <w:rFonts w:hint="eastAsia" w:ascii="宋体" w:hAnsi="宋体" w:cs="宋体"/>
          <w:color w:val="000000"/>
          <w:sz w:val="28"/>
          <w:szCs w:val="28"/>
          <w:u w:val="single"/>
        </w:rPr>
        <w:t xml:space="preserve">     </w:t>
      </w:r>
      <w:r>
        <w:rPr>
          <w:rFonts w:hint="eastAsia" w:ascii="宋体" w:hAnsi="宋体" w:cs="宋体"/>
          <w:color w:val="000000"/>
          <w:sz w:val="28"/>
          <w:szCs w:val="28"/>
        </w:rPr>
        <w:t>日</w:t>
      </w:r>
    </w:p>
    <w:p>
      <w:pPr>
        <w:rPr>
          <w:rFonts w:hint="eastAsia"/>
          <w:b w:val="0"/>
          <w:bCs/>
          <w:lang w:val="en-US" w:eastAsia="zh-CN"/>
        </w:rPr>
      </w:pPr>
      <w:bookmarkStart w:id="610" w:name="_Toc18392"/>
      <w:r>
        <w:rPr>
          <w:rFonts w:hint="eastAsia"/>
          <w:b w:val="0"/>
          <w:bCs/>
          <w:lang w:val="en-US" w:eastAsia="zh-CN"/>
        </w:rPr>
        <w:br w:type="page"/>
      </w:r>
    </w:p>
    <w:bookmarkEnd w:id="610"/>
    <w:p>
      <w:pPr>
        <w:pStyle w:val="6"/>
        <w:spacing w:before="120" w:beforeLines="50" w:after="120" w:afterLines="50" w:line="560" w:lineRule="exact"/>
        <w:rPr>
          <w:rFonts w:hint="eastAsia" w:ascii="黑体" w:hAnsi="黑体" w:eastAsia="黑体" w:cs="黑体"/>
          <w:b w:val="0"/>
          <w:lang w:val="zh-CN" w:eastAsia="zh-CN"/>
        </w:rPr>
      </w:pPr>
      <w:r>
        <w:rPr>
          <w:rFonts w:hint="eastAsia" w:ascii="黑体" w:hAnsi="黑体" w:cs="黑体"/>
          <w:b w:val="0"/>
          <w:lang w:val="zh-CN"/>
        </w:rPr>
        <w:t>附件3-</w:t>
      </w:r>
      <w:r>
        <w:rPr>
          <w:rFonts w:ascii="黑体" w:hAnsi="黑体" w:cs="黑体"/>
          <w:b w:val="0"/>
        </w:rPr>
        <w:t>1</w:t>
      </w:r>
      <w:r>
        <w:rPr>
          <w:rFonts w:hint="eastAsia" w:ascii="黑体" w:hAnsi="黑体" w:cs="黑体"/>
          <w:b w:val="0"/>
          <w:lang w:val="en-US" w:eastAsia="zh-CN"/>
        </w:rPr>
        <w:t>4</w:t>
      </w:r>
      <w:r>
        <w:rPr>
          <w:rFonts w:hint="eastAsia" w:ascii="黑体" w:hAnsi="黑体" w:cs="黑体"/>
          <w:b w:val="0"/>
          <w:lang w:val="zh-CN"/>
        </w:rPr>
        <w:t xml:space="preserve"> </w:t>
      </w:r>
      <w:r>
        <w:rPr>
          <w:rFonts w:hint="eastAsia" w:ascii="黑体" w:hAnsi="黑体" w:cs="黑体"/>
          <w:b w:val="0"/>
        </w:rPr>
        <w:t>其他资料</w:t>
      </w:r>
    </w:p>
    <w:p>
      <w:pPr>
        <w:jc w:val="center"/>
        <w:rPr>
          <w:rFonts w:ascii="黑体" w:hAnsi="黑体" w:eastAsia="黑体" w:cs="黑体"/>
          <w:sz w:val="36"/>
          <w:szCs w:val="36"/>
        </w:rPr>
      </w:pPr>
      <w:bookmarkStart w:id="611" w:name="_Hlk118451904"/>
      <w:r>
        <w:rPr>
          <w:rFonts w:hint="eastAsia" w:ascii="黑体" w:hAnsi="黑体" w:eastAsia="黑体" w:cs="黑体"/>
          <w:sz w:val="36"/>
          <w:szCs w:val="36"/>
        </w:rPr>
        <w:t>其他资料</w:t>
      </w:r>
    </w:p>
    <w:bookmarkEnd w:id="611"/>
    <w:p>
      <w:pPr>
        <w:spacing w:before="120" w:beforeLines="50"/>
        <w:jc w:val="center"/>
        <w:rPr>
          <w:sz w:val="28"/>
          <w:szCs w:val="28"/>
        </w:rPr>
      </w:pPr>
      <w:r>
        <w:rPr>
          <w:rFonts w:hint="eastAsia"/>
          <w:sz w:val="28"/>
          <w:szCs w:val="28"/>
        </w:rPr>
        <w:t>（报价供应商根据谈判文件规定的资格要求，自行添加其他资料）</w:t>
      </w:r>
    </w:p>
    <w:p>
      <w:pPr>
        <w:jc w:val="center"/>
        <w:rPr>
          <w:rFonts w:ascii="黑体" w:hAnsi="黑体" w:eastAsia="黑体" w:cs="黑体"/>
          <w:sz w:val="36"/>
          <w:szCs w:val="36"/>
        </w:rPr>
      </w:pPr>
    </w:p>
    <w:p>
      <w:pPr>
        <w:jc w:val="center"/>
        <w:rPr>
          <w:rFonts w:ascii="黑体" w:hAnsi="黑体" w:eastAsia="黑体" w:cs="黑体"/>
          <w:sz w:val="36"/>
          <w:szCs w:val="36"/>
        </w:rPr>
        <w:sectPr>
          <w:headerReference r:id="rId18" w:type="default"/>
          <w:footerReference r:id="rId19" w:type="default"/>
          <w:pgSz w:w="11906" w:h="16838"/>
          <w:pgMar w:top="1418" w:right="1134" w:bottom="1418" w:left="1418" w:header="851" w:footer="851" w:gutter="0"/>
          <w:pgNumType w:fmt="numberInDash"/>
          <w:cols w:space="720" w:num="1"/>
          <w:docGrid w:linePitch="388" w:charSpace="-1260"/>
        </w:sectPr>
      </w:pPr>
    </w:p>
    <w:p>
      <w:pPr>
        <w:spacing w:before="1560" w:beforeLines="650" w:line="480" w:lineRule="auto"/>
        <w:jc w:val="center"/>
        <w:rPr>
          <w:rFonts w:hint="eastAsia" w:ascii="方正小标宋简体" w:hAnsi="Times New Roman" w:eastAsia="方正小标宋简体" w:cs="Times New Roman"/>
          <w:sz w:val="56"/>
          <w:szCs w:val="56"/>
        </w:rPr>
      </w:pPr>
      <w:r>
        <w:rPr>
          <w:rFonts w:hint="eastAsia" w:ascii="方正小标宋简体" w:hAnsi="Times New Roman" w:eastAsia="方正小标宋简体" w:cs="Times New Roman"/>
          <w:sz w:val="56"/>
          <w:szCs w:val="56"/>
        </w:rPr>
        <w:t>军队物资项目</w:t>
      </w:r>
      <w:r>
        <w:rPr>
          <w:rFonts w:hint="eastAsia" w:ascii="方正小标宋简体" w:hAnsi="Times New Roman" w:eastAsia="方正小标宋简体" w:cs="Times New Roman"/>
          <w:sz w:val="56"/>
          <w:szCs w:val="56"/>
          <w:lang w:eastAsia="zh-CN"/>
        </w:rPr>
        <w:t>竞争性谈判</w:t>
      </w:r>
      <w:r>
        <w:rPr>
          <w:rFonts w:hint="eastAsia" w:ascii="方正小标宋简体" w:hAnsi="Times New Roman" w:eastAsia="方正小标宋简体" w:cs="Times New Roman"/>
          <w:sz w:val="56"/>
          <w:szCs w:val="56"/>
        </w:rPr>
        <w:t>文件</w:t>
      </w:r>
    </w:p>
    <w:p>
      <w:pPr>
        <w:jc w:val="center"/>
        <w:rPr>
          <w:b w:val="0"/>
          <w:bCs/>
          <w:color w:val="auto"/>
          <w:sz w:val="28"/>
          <w:szCs w:val="28"/>
        </w:rPr>
      </w:pPr>
    </w:p>
    <w:p>
      <w:pPr>
        <w:rPr>
          <w:b w:val="0"/>
          <w:bCs/>
          <w:color w:val="auto"/>
          <w:sz w:val="28"/>
          <w:szCs w:val="28"/>
        </w:rPr>
      </w:pPr>
    </w:p>
    <w:p>
      <w:pPr>
        <w:rPr>
          <w:b w:val="0"/>
          <w:bCs/>
          <w:color w:val="auto"/>
        </w:rPr>
      </w:pPr>
    </w:p>
    <w:p>
      <w:pPr>
        <w:pStyle w:val="16"/>
        <w:rPr>
          <w:b w:val="0"/>
          <w:bCs/>
          <w:color w:val="auto"/>
        </w:rPr>
      </w:pPr>
    </w:p>
    <w:p>
      <w:pPr>
        <w:pStyle w:val="17"/>
        <w:rPr>
          <w:b w:val="0"/>
          <w:bCs/>
          <w:color w:val="auto"/>
        </w:rPr>
      </w:pPr>
    </w:p>
    <w:p>
      <w:pPr>
        <w:rPr>
          <w:b w:val="0"/>
          <w:bCs/>
          <w:color w:val="auto"/>
        </w:rPr>
      </w:pPr>
    </w:p>
    <w:p>
      <w:pPr>
        <w:pStyle w:val="16"/>
        <w:rPr>
          <w:b w:val="0"/>
          <w:bCs/>
          <w:color w:val="auto"/>
        </w:rPr>
      </w:pPr>
    </w:p>
    <w:p>
      <w:pPr>
        <w:pStyle w:val="17"/>
        <w:rPr>
          <w:b w:val="0"/>
          <w:bCs/>
          <w:color w:val="auto"/>
        </w:rPr>
      </w:pPr>
    </w:p>
    <w:p>
      <w:pPr>
        <w:rPr>
          <w:b w:val="0"/>
          <w:bCs/>
          <w:color w:val="auto"/>
        </w:rPr>
      </w:pPr>
    </w:p>
    <w:p>
      <w:pPr>
        <w:pStyle w:val="16"/>
      </w:pPr>
    </w:p>
    <w:p>
      <w:pPr>
        <w:jc w:val="center"/>
        <w:outlineLvl w:val="0"/>
      </w:pPr>
      <w:bookmarkStart w:id="612" w:name="_Toc1083"/>
      <w:bookmarkStart w:id="613" w:name="_Toc18368"/>
      <w:bookmarkStart w:id="614" w:name="_Toc12468"/>
      <w:bookmarkStart w:id="615" w:name="_Toc8228"/>
      <w:bookmarkStart w:id="616" w:name="_Toc28138"/>
      <w:r>
        <w:rPr>
          <w:rFonts w:hint="eastAsia" w:ascii="方正小标宋简体" w:hAnsi="Times New Roman" w:eastAsia="方正小标宋简体" w:cs="Times New Roman"/>
          <w:sz w:val="84"/>
          <w:szCs w:val="84"/>
          <w:lang w:eastAsia="zh-CN"/>
        </w:rPr>
        <w:t>专用部分</w:t>
      </w:r>
      <w:r>
        <w:br w:type="page"/>
      </w:r>
      <w:bookmarkEnd w:id="612"/>
      <w:bookmarkEnd w:id="613"/>
      <w:bookmarkEnd w:id="614"/>
      <w:bookmarkEnd w:id="615"/>
      <w:bookmarkEnd w:id="616"/>
    </w:p>
    <w:p>
      <w:pPr>
        <w:keepNext/>
        <w:keepLines/>
        <w:adjustRightInd w:val="0"/>
        <w:snapToGrid w:val="0"/>
        <w:spacing w:line="560" w:lineRule="exact"/>
        <w:ind w:firstLine="0" w:firstLineChars="0"/>
        <w:jc w:val="center"/>
        <w:textAlignment w:val="baseline"/>
        <w:outlineLvl w:val="1"/>
        <w:rPr>
          <w:rFonts w:hint="eastAsia" w:ascii="Arial" w:hAnsi="Arial" w:eastAsia="方正小标宋简体" w:cs="Times New Roman"/>
          <w:b w:val="0"/>
          <w:bCs/>
          <w:kern w:val="2"/>
          <w:sz w:val="44"/>
          <w:szCs w:val="44"/>
          <w:lang w:val="zh-CN" w:eastAsia="zh-CN" w:bidi="ar-SA"/>
        </w:rPr>
      </w:pPr>
      <w:bookmarkStart w:id="617" w:name="_Toc30301"/>
      <w:bookmarkStart w:id="618" w:name="_Toc14885"/>
      <w:bookmarkStart w:id="619" w:name="_Toc8683"/>
      <w:bookmarkStart w:id="620" w:name="_Toc112317780"/>
      <w:bookmarkStart w:id="621" w:name="_Toc16768"/>
      <w:r>
        <w:rPr>
          <w:rFonts w:hint="eastAsia" w:ascii="Arial" w:hAnsi="Arial" w:eastAsia="方正小标宋简体" w:cs="Times New Roman"/>
          <w:b w:val="0"/>
          <w:bCs/>
          <w:kern w:val="2"/>
          <w:sz w:val="44"/>
          <w:szCs w:val="44"/>
          <w:lang w:val="zh-CN" w:eastAsia="zh-CN" w:bidi="ar-SA"/>
        </w:rPr>
        <w:t>报价供应商须知前附表</w:t>
      </w:r>
      <w:bookmarkEnd w:id="617"/>
      <w:bookmarkEnd w:id="618"/>
    </w:p>
    <w:p>
      <w:pPr>
        <w:keepNext/>
        <w:keepLines/>
        <w:pageBreakBefore w:val="0"/>
        <w:widowControl w:val="0"/>
        <w:kinsoku/>
        <w:wordWrap/>
        <w:overflowPunct/>
        <w:topLinePunct w:val="0"/>
        <w:autoSpaceDE/>
        <w:autoSpaceDN/>
        <w:bidi w:val="0"/>
        <w:adjustRightInd w:val="0"/>
        <w:snapToGrid w:val="0"/>
        <w:spacing w:before="157" w:beforeLines="50" w:after="157" w:afterLines="50" w:line="560" w:lineRule="exact"/>
        <w:ind w:firstLine="560" w:firstLineChars="200"/>
        <w:jc w:val="left"/>
        <w:textAlignment w:val="baseline"/>
        <w:rPr>
          <w:b w:val="0"/>
          <w:bCs/>
        </w:rPr>
      </w:pPr>
      <w:bookmarkStart w:id="622" w:name="_Toc32673"/>
      <w:bookmarkStart w:id="623" w:name="_Toc83738975"/>
      <w:r>
        <w:rPr>
          <w:rFonts w:hint="eastAsia" w:ascii="宋体" w:hAnsi="宋体" w:cs="宋体"/>
          <w:b w:val="0"/>
          <w:bCs/>
          <w:sz w:val="28"/>
          <w:szCs w:val="28"/>
        </w:rPr>
        <w:t>本表是对第一章“</w:t>
      </w:r>
      <w:r>
        <w:rPr>
          <w:rFonts w:hint="eastAsia" w:ascii="宋体" w:hAnsi="宋体" w:cs="宋体"/>
          <w:b w:val="0"/>
          <w:bCs/>
          <w:sz w:val="28"/>
          <w:szCs w:val="28"/>
          <w:lang w:eastAsia="zh-CN"/>
        </w:rPr>
        <w:t>报价</w:t>
      </w:r>
      <w:r>
        <w:rPr>
          <w:rFonts w:hint="eastAsia" w:ascii="宋体" w:hAnsi="宋体" w:cs="宋体"/>
          <w:b w:val="0"/>
          <w:bCs/>
          <w:sz w:val="28"/>
          <w:szCs w:val="28"/>
        </w:rPr>
        <w:t>供应商须知”内容的集中说明，需重点关注。如与第一章“</w:t>
      </w:r>
      <w:r>
        <w:rPr>
          <w:rFonts w:hint="eastAsia" w:ascii="宋体" w:hAnsi="宋体" w:cs="宋体"/>
          <w:b w:val="0"/>
          <w:bCs/>
          <w:sz w:val="28"/>
          <w:szCs w:val="28"/>
          <w:lang w:eastAsia="zh-CN"/>
        </w:rPr>
        <w:t>报价</w:t>
      </w:r>
      <w:r>
        <w:rPr>
          <w:rFonts w:hint="eastAsia" w:ascii="宋体" w:hAnsi="宋体" w:cs="宋体"/>
          <w:b w:val="0"/>
          <w:bCs/>
          <w:sz w:val="28"/>
          <w:szCs w:val="28"/>
        </w:rPr>
        <w:t>供应商须知”存在不一致的地方，以本表为准。</w:t>
      </w:r>
      <w:bookmarkEnd w:id="622"/>
      <w:bookmarkEnd w:id="623"/>
    </w:p>
    <w:tbl>
      <w:tblPr>
        <w:tblStyle w:val="44"/>
        <w:tblW w:w="4994"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915"/>
        <w:gridCol w:w="3652"/>
        <w:gridCol w:w="39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blHeader/>
        </w:trPr>
        <w:tc>
          <w:tcPr>
            <w:tcW w:w="100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条款号</w:t>
            </w:r>
          </w:p>
        </w:tc>
        <w:tc>
          <w:tcPr>
            <w:tcW w:w="1910"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条款名称</w:t>
            </w:r>
          </w:p>
        </w:tc>
        <w:tc>
          <w:tcPr>
            <w:tcW w:w="2087"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编列内容规定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5000" w:type="pct"/>
            <w:gridSpan w:val="3"/>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bCs w:val="0"/>
                <w:sz w:val="24"/>
                <w:szCs w:val="24"/>
              </w:rPr>
              <w:t>一、说明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第1.1款</w:t>
            </w:r>
          </w:p>
        </w:tc>
        <w:tc>
          <w:tcPr>
            <w:tcW w:w="1910"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采购项目</w:t>
            </w:r>
          </w:p>
        </w:tc>
        <w:tc>
          <w:tcPr>
            <w:tcW w:w="2087"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详见第四章“</w:t>
            </w:r>
            <w:r>
              <w:rPr>
                <w:rFonts w:hint="eastAsia" w:ascii="宋体" w:hAnsi="宋体" w:eastAsia="宋体" w:cs="宋体"/>
                <w:b w:val="0"/>
                <w:bCs/>
                <w:sz w:val="21"/>
                <w:szCs w:val="21"/>
                <w:lang w:eastAsia="zh-CN"/>
              </w:rPr>
              <w:t>谈判</w:t>
            </w:r>
            <w:r>
              <w:rPr>
                <w:rFonts w:hint="eastAsia" w:ascii="宋体" w:hAnsi="宋体" w:eastAsia="宋体" w:cs="宋体"/>
                <w:b w:val="0"/>
                <w:bCs/>
                <w:sz w:val="21"/>
                <w:szCs w:val="21"/>
              </w:rPr>
              <w:t>公告”第一条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第3.2款</w:t>
            </w:r>
          </w:p>
        </w:tc>
        <w:tc>
          <w:tcPr>
            <w:tcW w:w="1910"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lang w:eastAsia="zh-CN"/>
              </w:rPr>
              <w:t>报价</w:t>
            </w:r>
            <w:r>
              <w:rPr>
                <w:rFonts w:hint="eastAsia" w:ascii="宋体" w:hAnsi="宋体" w:eastAsia="宋体" w:cs="宋体"/>
                <w:b w:val="0"/>
                <w:bCs/>
                <w:sz w:val="21"/>
                <w:szCs w:val="21"/>
              </w:rPr>
              <w:t>供应商资格条件</w:t>
            </w:r>
          </w:p>
        </w:tc>
        <w:tc>
          <w:tcPr>
            <w:tcW w:w="2087"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详见第四章“</w:t>
            </w:r>
            <w:r>
              <w:rPr>
                <w:rFonts w:hint="eastAsia" w:ascii="宋体" w:hAnsi="宋体" w:eastAsia="宋体" w:cs="宋体"/>
                <w:b w:val="0"/>
                <w:bCs/>
                <w:sz w:val="21"/>
                <w:szCs w:val="21"/>
                <w:lang w:eastAsia="zh-CN"/>
              </w:rPr>
              <w:t>谈判</w:t>
            </w:r>
            <w:r>
              <w:rPr>
                <w:rFonts w:hint="eastAsia" w:ascii="宋体" w:hAnsi="宋体" w:eastAsia="宋体" w:cs="宋体"/>
                <w:b w:val="0"/>
                <w:bCs/>
                <w:sz w:val="21"/>
                <w:szCs w:val="21"/>
              </w:rPr>
              <w:t>公告”第四条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第7.1款</w:t>
            </w:r>
          </w:p>
        </w:tc>
        <w:tc>
          <w:tcPr>
            <w:tcW w:w="1910"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lang w:eastAsia="zh-CN"/>
              </w:rPr>
              <w:t>谈判</w:t>
            </w:r>
            <w:r>
              <w:rPr>
                <w:rFonts w:hint="eastAsia" w:ascii="宋体" w:hAnsi="宋体" w:eastAsia="宋体" w:cs="宋体"/>
                <w:b w:val="0"/>
                <w:bCs/>
                <w:sz w:val="21"/>
                <w:szCs w:val="21"/>
              </w:rPr>
              <w:t>文件申领时间</w:t>
            </w:r>
          </w:p>
        </w:tc>
        <w:tc>
          <w:tcPr>
            <w:tcW w:w="2087"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详见第四章“</w:t>
            </w:r>
            <w:r>
              <w:rPr>
                <w:rFonts w:hint="eastAsia" w:ascii="宋体" w:hAnsi="宋体" w:eastAsia="宋体" w:cs="宋体"/>
                <w:b w:val="0"/>
                <w:bCs/>
                <w:sz w:val="21"/>
                <w:szCs w:val="21"/>
                <w:lang w:eastAsia="zh-CN"/>
              </w:rPr>
              <w:t>谈判</w:t>
            </w:r>
            <w:r>
              <w:rPr>
                <w:rFonts w:hint="eastAsia" w:ascii="宋体" w:hAnsi="宋体" w:eastAsia="宋体" w:cs="宋体"/>
                <w:b w:val="0"/>
                <w:bCs/>
                <w:sz w:val="21"/>
                <w:szCs w:val="21"/>
              </w:rPr>
              <w:t>公告”第五条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2" w:hRule="atLeast"/>
        </w:trPr>
        <w:tc>
          <w:tcPr>
            <w:tcW w:w="100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第7.2款</w:t>
            </w:r>
          </w:p>
        </w:tc>
        <w:tc>
          <w:tcPr>
            <w:tcW w:w="1910"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组织现场踏勘或者召开答疑会</w:t>
            </w:r>
          </w:p>
        </w:tc>
        <w:tc>
          <w:tcPr>
            <w:tcW w:w="2087"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cs="宋体"/>
                <w:b w:val="0"/>
                <w:bCs/>
                <w:color w:val="auto"/>
                <w:sz w:val="21"/>
                <w:szCs w:val="21"/>
                <w:highlight w:val="cyan"/>
                <w:lang w:val="en-US" w:eastAsia="zh-CN"/>
              </w:rPr>
              <w:t>本项目不涉及。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00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第8.1款</w:t>
            </w:r>
          </w:p>
        </w:tc>
        <w:tc>
          <w:tcPr>
            <w:tcW w:w="1910"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信息发布指定媒体</w:t>
            </w:r>
          </w:p>
        </w:tc>
        <w:tc>
          <w:tcPr>
            <w:tcW w:w="2087"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详见第四章“</w:t>
            </w:r>
            <w:r>
              <w:rPr>
                <w:rFonts w:hint="eastAsia" w:ascii="宋体" w:hAnsi="宋体" w:eastAsia="宋体" w:cs="宋体"/>
                <w:b w:val="0"/>
                <w:bCs/>
                <w:sz w:val="21"/>
                <w:szCs w:val="21"/>
                <w:lang w:eastAsia="zh-CN"/>
              </w:rPr>
              <w:t>谈判</w:t>
            </w:r>
            <w:r>
              <w:rPr>
                <w:rFonts w:hint="eastAsia" w:ascii="宋体" w:hAnsi="宋体" w:eastAsia="宋体" w:cs="宋体"/>
                <w:b w:val="0"/>
                <w:bCs/>
                <w:sz w:val="21"/>
                <w:szCs w:val="21"/>
              </w:rPr>
              <w:t>公告”第</w:t>
            </w:r>
            <w:r>
              <w:rPr>
                <w:rFonts w:hint="eastAsia" w:ascii="宋体" w:hAnsi="宋体" w:eastAsia="宋体" w:cs="宋体"/>
                <w:b w:val="0"/>
                <w:bCs/>
                <w:sz w:val="21"/>
                <w:szCs w:val="21"/>
                <w:lang w:eastAsia="zh-CN"/>
              </w:rPr>
              <w:t>八</w:t>
            </w:r>
            <w:r>
              <w:rPr>
                <w:rFonts w:hint="eastAsia" w:ascii="宋体" w:hAnsi="宋体" w:eastAsia="宋体" w:cs="宋体"/>
                <w:b w:val="0"/>
                <w:bCs/>
                <w:sz w:val="21"/>
                <w:szCs w:val="21"/>
              </w:rPr>
              <w:t>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5000" w:type="pct"/>
            <w:gridSpan w:val="3"/>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bCs w:val="0"/>
                <w:sz w:val="24"/>
                <w:szCs w:val="24"/>
              </w:rPr>
              <w:t>二、</w:t>
            </w:r>
            <w:r>
              <w:rPr>
                <w:rFonts w:hint="eastAsia" w:ascii="宋体" w:hAnsi="宋体" w:eastAsia="宋体" w:cs="宋体"/>
                <w:b/>
                <w:bCs w:val="0"/>
                <w:sz w:val="24"/>
                <w:szCs w:val="24"/>
                <w:lang w:eastAsia="zh-CN"/>
              </w:rPr>
              <w:t>谈判</w:t>
            </w:r>
            <w:r>
              <w:rPr>
                <w:rFonts w:hint="eastAsia" w:ascii="宋体" w:hAnsi="宋体" w:eastAsia="宋体" w:cs="宋体"/>
                <w:b/>
                <w:bCs w:val="0"/>
                <w:sz w:val="24"/>
                <w:szCs w:val="24"/>
              </w:rPr>
              <w:t>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第10.1款</w:t>
            </w:r>
          </w:p>
        </w:tc>
        <w:tc>
          <w:tcPr>
            <w:tcW w:w="1910"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lang w:eastAsia="zh-CN"/>
              </w:rPr>
              <w:t>报价</w:t>
            </w:r>
            <w:r>
              <w:rPr>
                <w:rFonts w:hint="eastAsia" w:ascii="宋体" w:hAnsi="宋体" w:eastAsia="宋体" w:cs="宋体"/>
                <w:b w:val="0"/>
                <w:bCs/>
                <w:sz w:val="21"/>
                <w:szCs w:val="21"/>
              </w:rPr>
              <w:t>截止时间</w:t>
            </w:r>
          </w:p>
        </w:tc>
        <w:tc>
          <w:tcPr>
            <w:tcW w:w="2087"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详见第四章“</w:t>
            </w:r>
            <w:r>
              <w:rPr>
                <w:rFonts w:hint="eastAsia" w:ascii="宋体" w:hAnsi="宋体" w:eastAsia="宋体" w:cs="宋体"/>
                <w:b w:val="0"/>
                <w:bCs/>
                <w:sz w:val="21"/>
                <w:szCs w:val="21"/>
                <w:lang w:eastAsia="zh-CN"/>
              </w:rPr>
              <w:t>谈判</w:t>
            </w:r>
            <w:r>
              <w:rPr>
                <w:rFonts w:hint="eastAsia" w:ascii="宋体" w:hAnsi="宋体" w:eastAsia="宋体" w:cs="宋体"/>
                <w:b w:val="0"/>
                <w:bCs/>
                <w:sz w:val="21"/>
                <w:szCs w:val="21"/>
              </w:rPr>
              <w:t>公告”第六条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5000" w:type="pct"/>
            <w:gridSpan w:val="3"/>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bCs w:val="0"/>
                <w:sz w:val="24"/>
                <w:szCs w:val="24"/>
              </w:rPr>
              <w:t>三、</w:t>
            </w:r>
            <w:r>
              <w:rPr>
                <w:rFonts w:hint="eastAsia" w:ascii="宋体" w:hAnsi="宋体" w:eastAsia="宋体" w:cs="宋体"/>
                <w:b/>
                <w:bCs w:val="0"/>
                <w:sz w:val="24"/>
                <w:szCs w:val="24"/>
                <w:lang w:eastAsia="zh-CN"/>
              </w:rPr>
              <w:t>报价</w:t>
            </w:r>
            <w:r>
              <w:rPr>
                <w:rFonts w:hint="eastAsia" w:ascii="宋体" w:hAnsi="宋体" w:eastAsia="宋体" w:cs="宋体"/>
                <w:b/>
                <w:bCs w:val="0"/>
                <w:sz w:val="24"/>
                <w:szCs w:val="24"/>
              </w:rPr>
              <w:t>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2"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第14.6款</w:t>
            </w:r>
          </w:p>
        </w:tc>
        <w:tc>
          <w:tcPr>
            <w:tcW w:w="1910"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default" w:ascii="宋体" w:hAnsi="宋体" w:eastAsia="宋体" w:cs="宋体"/>
                <w:b w:val="0"/>
                <w:bCs/>
                <w:sz w:val="21"/>
                <w:szCs w:val="21"/>
                <w:highlight w:val="none"/>
                <w:lang w:val="en-US" w:eastAsia="zh-CN"/>
              </w:rPr>
            </w:pPr>
            <w:r>
              <w:rPr>
                <w:rFonts w:hint="eastAsia" w:ascii="宋体" w:hAnsi="宋体" w:cs="宋体"/>
                <w:bCs/>
                <w:szCs w:val="21"/>
                <w:highlight w:val="none"/>
                <w:lang w:eastAsia="zh-CN"/>
              </w:rPr>
              <w:t>报价</w:t>
            </w:r>
            <w:r>
              <w:rPr>
                <w:rFonts w:hint="eastAsia" w:ascii="宋体" w:hAnsi="宋体" w:cs="宋体"/>
                <w:bCs/>
                <w:szCs w:val="21"/>
                <w:highlight w:val="none"/>
              </w:rPr>
              <w:t>文件副本及电子版</w:t>
            </w:r>
            <w:r>
              <w:rPr>
                <w:rFonts w:hint="eastAsia" w:ascii="宋体" w:hAnsi="宋体" w:cs="宋体"/>
                <w:bCs/>
                <w:szCs w:val="21"/>
                <w:highlight w:val="none"/>
                <w:lang w:eastAsia="zh-CN"/>
              </w:rPr>
              <w:t>报价</w:t>
            </w:r>
            <w:r>
              <w:rPr>
                <w:rFonts w:hint="eastAsia" w:ascii="宋体" w:hAnsi="宋体" w:cs="宋体"/>
                <w:bCs/>
                <w:szCs w:val="21"/>
                <w:highlight w:val="none"/>
              </w:rPr>
              <w:t>文件份数</w:t>
            </w:r>
          </w:p>
        </w:tc>
        <w:tc>
          <w:tcPr>
            <w:tcW w:w="2087" w:type="pct"/>
            <w:noWrap w:val="0"/>
            <w:vAlign w:val="center"/>
          </w:tcPr>
          <w:p>
            <w:pPr>
              <w:adjustRightInd w:val="0"/>
              <w:snapToGrid w:val="0"/>
              <w:spacing w:before="120" w:beforeLines="50"/>
              <w:rPr>
                <w:rFonts w:ascii="宋体" w:hAnsi="宋体" w:cs="宋体"/>
                <w:bCs/>
                <w:szCs w:val="21"/>
                <w:highlight w:val="none"/>
              </w:rPr>
            </w:pPr>
            <w:r>
              <w:rPr>
                <w:rFonts w:hint="eastAsia" w:ascii="宋体" w:hAnsi="宋体" w:cs="宋体"/>
                <w:bCs/>
                <w:szCs w:val="21"/>
                <w:highlight w:val="none"/>
              </w:rPr>
              <w:t>副本份数：</w:t>
            </w:r>
            <w:r>
              <w:rPr>
                <w:rFonts w:hint="eastAsia" w:ascii="宋体" w:hAnsi="宋体" w:cs="宋体"/>
                <w:bCs/>
                <w:szCs w:val="21"/>
                <w:highlight w:val="none"/>
                <w:lang w:val="en-US" w:eastAsia="zh-CN"/>
              </w:rPr>
              <w:t>2</w:t>
            </w:r>
            <w:r>
              <w:rPr>
                <w:rFonts w:hint="eastAsia" w:ascii="宋体" w:hAnsi="宋体" w:cs="宋体"/>
                <w:bCs/>
                <w:szCs w:val="21"/>
                <w:highlight w:val="none"/>
              </w:rPr>
              <w:t>份</w:t>
            </w:r>
          </w:p>
          <w:p>
            <w:pPr>
              <w:adjustRightInd w:val="0"/>
              <w:snapToGrid w:val="0"/>
              <w:spacing w:before="120" w:beforeLines="50"/>
              <w:rPr>
                <w:rFonts w:ascii="宋体" w:hAnsi="宋体" w:cs="宋体"/>
                <w:bCs/>
                <w:szCs w:val="21"/>
                <w:highlight w:val="none"/>
                <w:u w:val="single"/>
              </w:rPr>
            </w:pPr>
            <w:r>
              <w:rPr>
                <w:rFonts w:hint="eastAsia" w:ascii="宋体" w:hAnsi="宋体" w:cs="宋体"/>
                <w:bCs/>
                <w:szCs w:val="21"/>
                <w:highlight w:val="none"/>
              </w:rPr>
              <w:t>电子版</w:t>
            </w:r>
            <w:r>
              <w:rPr>
                <w:rFonts w:hint="eastAsia" w:ascii="宋体" w:hAnsi="宋体" w:cs="宋体"/>
                <w:bCs/>
                <w:szCs w:val="21"/>
                <w:highlight w:val="none"/>
                <w:lang w:eastAsia="zh-CN"/>
              </w:rPr>
              <w:t>报价</w:t>
            </w:r>
            <w:r>
              <w:rPr>
                <w:rFonts w:hint="eastAsia" w:ascii="宋体" w:hAnsi="宋体" w:cs="宋体"/>
                <w:bCs/>
                <w:szCs w:val="21"/>
                <w:highlight w:val="none"/>
              </w:rPr>
              <w:t>文件：1份</w:t>
            </w:r>
          </w:p>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highlight w:val="none"/>
              </w:rPr>
            </w:pPr>
            <w:r>
              <w:rPr>
                <w:rFonts w:hint="eastAsia" w:ascii="宋体" w:hAnsi="宋体" w:cs="宋体"/>
                <w:bCs/>
                <w:szCs w:val="21"/>
                <w:highlight w:val="none"/>
              </w:rPr>
              <w:t>其中，《价格文件》3份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2"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第15.1款</w:t>
            </w:r>
          </w:p>
        </w:tc>
        <w:tc>
          <w:tcPr>
            <w:tcW w:w="1910"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lang w:eastAsia="zh-CN"/>
              </w:rPr>
              <w:t>报价</w:t>
            </w:r>
            <w:r>
              <w:rPr>
                <w:rFonts w:hint="eastAsia" w:ascii="宋体" w:hAnsi="宋体" w:eastAsia="宋体" w:cs="宋体"/>
                <w:b w:val="0"/>
                <w:bCs/>
                <w:sz w:val="21"/>
                <w:szCs w:val="21"/>
                <w:highlight w:val="none"/>
              </w:rPr>
              <w:t>文件有效期</w:t>
            </w:r>
          </w:p>
        </w:tc>
        <w:tc>
          <w:tcPr>
            <w:tcW w:w="2087"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从提交</w:t>
            </w:r>
            <w:r>
              <w:rPr>
                <w:rFonts w:hint="eastAsia" w:ascii="宋体" w:hAnsi="宋体" w:eastAsia="宋体" w:cs="宋体"/>
                <w:b w:val="0"/>
                <w:bCs/>
                <w:sz w:val="21"/>
                <w:szCs w:val="21"/>
                <w:highlight w:val="none"/>
                <w:lang w:eastAsia="zh-CN"/>
              </w:rPr>
              <w:t>报价</w:t>
            </w:r>
            <w:r>
              <w:rPr>
                <w:rFonts w:hint="eastAsia" w:ascii="宋体" w:hAnsi="宋体" w:eastAsia="宋体" w:cs="宋体"/>
                <w:b w:val="0"/>
                <w:bCs/>
                <w:sz w:val="21"/>
                <w:szCs w:val="21"/>
                <w:highlight w:val="none"/>
              </w:rPr>
              <w:t>文件的截止之日起</w:t>
            </w:r>
            <w:r>
              <w:rPr>
                <w:rFonts w:hint="eastAsia" w:ascii="宋体" w:hAnsi="宋体" w:eastAsia="宋体" w:cs="宋体"/>
                <w:b w:val="0"/>
                <w:bCs/>
                <w:sz w:val="21"/>
                <w:szCs w:val="21"/>
                <w:highlight w:val="none"/>
                <w:u w:val="single"/>
                <w:lang w:val="en-US" w:eastAsia="zh-CN"/>
              </w:rPr>
              <w:t>180</w:t>
            </w:r>
            <w:r>
              <w:rPr>
                <w:rFonts w:hint="eastAsia" w:ascii="宋体" w:hAnsi="宋体" w:eastAsia="宋体" w:cs="宋体"/>
                <w:b w:val="0"/>
                <w:bCs/>
                <w:sz w:val="21"/>
                <w:szCs w:val="21"/>
                <w:highlight w:val="none"/>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2"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第16.4款</w:t>
            </w:r>
          </w:p>
        </w:tc>
        <w:tc>
          <w:tcPr>
            <w:tcW w:w="1910"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lang w:eastAsia="zh-CN"/>
              </w:rPr>
              <w:t>报价</w:t>
            </w:r>
            <w:r>
              <w:rPr>
                <w:rFonts w:hint="eastAsia" w:ascii="宋体" w:hAnsi="宋体" w:eastAsia="宋体" w:cs="宋体"/>
                <w:b w:val="0"/>
                <w:bCs/>
                <w:sz w:val="21"/>
                <w:szCs w:val="21"/>
                <w:highlight w:val="none"/>
              </w:rPr>
              <w:t>报价的其他要求</w:t>
            </w:r>
          </w:p>
        </w:tc>
        <w:tc>
          <w:tcPr>
            <w:tcW w:w="2087"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2"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第17.1款</w:t>
            </w:r>
          </w:p>
        </w:tc>
        <w:tc>
          <w:tcPr>
            <w:tcW w:w="1910"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lang w:eastAsia="zh-CN"/>
              </w:rPr>
              <w:t>谈判</w:t>
            </w:r>
            <w:r>
              <w:rPr>
                <w:rFonts w:hint="eastAsia" w:ascii="宋体" w:hAnsi="宋体" w:eastAsia="宋体" w:cs="宋体"/>
                <w:b w:val="0"/>
                <w:bCs/>
                <w:sz w:val="21"/>
                <w:szCs w:val="21"/>
                <w:highlight w:val="none"/>
              </w:rPr>
              <w:t>保证金</w:t>
            </w:r>
          </w:p>
        </w:tc>
        <w:tc>
          <w:tcPr>
            <w:tcW w:w="2087"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保证金金额：</w:t>
            </w:r>
            <w:r>
              <w:rPr>
                <w:rFonts w:hint="eastAsia" w:ascii="宋体" w:hAnsi="宋体" w:cs="宋体"/>
                <w:b w:val="0"/>
                <w:bCs/>
                <w:sz w:val="21"/>
                <w:szCs w:val="21"/>
                <w:highlight w:val="none"/>
                <w:u w:val="single"/>
                <w:lang w:eastAsia="zh-CN"/>
              </w:rPr>
              <w:t>壹万玖仟</w:t>
            </w:r>
            <w:r>
              <w:rPr>
                <w:rFonts w:hint="eastAsia" w:ascii="宋体" w:hAnsi="宋体" w:eastAsia="宋体" w:cs="宋体"/>
                <w:b w:val="0"/>
                <w:bCs/>
                <w:sz w:val="21"/>
                <w:szCs w:val="21"/>
                <w:highlight w:val="none"/>
              </w:rPr>
              <w:t>元（￥</w:t>
            </w:r>
            <w:r>
              <w:rPr>
                <w:rFonts w:hint="eastAsia" w:ascii="宋体" w:hAnsi="宋体" w:eastAsia="宋体" w:cs="宋体"/>
                <w:b w:val="0"/>
                <w:bCs/>
                <w:sz w:val="21"/>
                <w:szCs w:val="21"/>
                <w:highlight w:val="none"/>
                <w:u w:val="single"/>
              </w:rPr>
              <w:t xml:space="preserve"> </w:t>
            </w:r>
            <w:r>
              <w:rPr>
                <w:rFonts w:hint="eastAsia" w:ascii="宋体" w:hAnsi="宋体" w:cs="宋体"/>
                <w:b w:val="0"/>
                <w:bCs/>
                <w:sz w:val="21"/>
                <w:szCs w:val="21"/>
                <w:highlight w:val="none"/>
                <w:u w:val="single"/>
                <w:lang w:val="en-US" w:eastAsia="zh-CN"/>
              </w:rPr>
              <w:t>19000.00</w:t>
            </w:r>
            <w:r>
              <w:rPr>
                <w:rFonts w:hint="eastAsia" w:ascii="宋体" w:hAnsi="宋体" w:eastAsia="宋体" w:cs="宋体"/>
                <w:b w:val="0"/>
                <w:bCs/>
                <w:sz w:val="21"/>
                <w:szCs w:val="21"/>
                <w:highlight w:val="none"/>
                <w:u w:val="single"/>
              </w:rPr>
              <w:t xml:space="preserve"> </w:t>
            </w:r>
            <w:r>
              <w:rPr>
                <w:rFonts w:hint="eastAsia" w:ascii="宋体" w:hAnsi="宋体" w:eastAsia="宋体" w:cs="宋体"/>
                <w:b w:val="0"/>
                <w:bCs/>
                <w:sz w:val="21"/>
                <w:szCs w:val="21"/>
                <w:highlight w:val="none"/>
              </w:rPr>
              <w:t>）</w:t>
            </w:r>
          </w:p>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缴纳截止时间：</w:t>
            </w:r>
            <w:r>
              <w:rPr>
                <w:rFonts w:hint="eastAsia" w:ascii="宋体" w:hAnsi="宋体" w:eastAsia="宋体" w:cs="宋体"/>
                <w:b w:val="0"/>
                <w:bCs/>
                <w:sz w:val="21"/>
                <w:szCs w:val="21"/>
                <w:highlight w:val="none"/>
                <w:u w:val="single"/>
              </w:rPr>
              <w:t xml:space="preserve">    </w:t>
            </w:r>
            <w:r>
              <w:rPr>
                <w:rFonts w:hint="eastAsia" w:ascii="宋体" w:hAnsi="宋体" w:eastAsia="宋体" w:cs="宋体"/>
                <w:b w:val="0"/>
                <w:bCs/>
                <w:sz w:val="21"/>
                <w:szCs w:val="21"/>
                <w:highlight w:val="none"/>
              </w:rPr>
              <w:t>年</w:t>
            </w:r>
            <w:r>
              <w:rPr>
                <w:rFonts w:hint="eastAsia" w:ascii="宋体" w:hAnsi="宋体" w:eastAsia="宋体" w:cs="宋体"/>
                <w:b w:val="0"/>
                <w:bCs/>
                <w:sz w:val="21"/>
                <w:szCs w:val="21"/>
                <w:highlight w:val="none"/>
                <w:u w:val="single"/>
              </w:rPr>
              <w:t xml:space="preserve">   </w:t>
            </w:r>
            <w:r>
              <w:rPr>
                <w:rFonts w:hint="eastAsia" w:ascii="宋体" w:hAnsi="宋体" w:eastAsia="宋体" w:cs="宋体"/>
                <w:b w:val="0"/>
                <w:bCs/>
                <w:sz w:val="21"/>
                <w:szCs w:val="21"/>
                <w:highlight w:val="none"/>
              </w:rPr>
              <w:t>月</w:t>
            </w:r>
            <w:r>
              <w:rPr>
                <w:rFonts w:hint="eastAsia" w:ascii="宋体" w:hAnsi="宋体" w:eastAsia="宋体" w:cs="宋体"/>
                <w:b w:val="0"/>
                <w:bCs/>
                <w:sz w:val="21"/>
                <w:szCs w:val="21"/>
                <w:highlight w:val="none"/>
                <w:u w:val="single"/>
              </w:rPr>
              <w:t xml:space="preserve">   </w:t>
            </w:r>
            <w:r>
              <w:rPr>
                <w:rFonts w:hint="eastAsia" w:ascii="宋体" w:hAnsi="宋体" w:eastAsia="宋体" w:cs="宋体"/>
                <w:b w:val="0"/>
                <w:bCs/>
                <w:sz w:val="21"/>
                <w:szCs w:val="21"/>
                <w:highlight w:val="none"/>
              </w:rPr>
              <w:t>日</w:t>
            </w:r>
            <w:r>
              <w:rPr>
                <w:rFonts w:hint="eastAsia" w:ascii="宋体" w:hAnsi="宋体" w:eastAsia="宋体" w:cs="宋体"/>
                <w:b w:val="0"/>
                <w:bCs/>
                <w:sz w:val="21"/>
                <w:szCs w:val="21"/>
                <w:highlight w:val="none"/>
                <w:u w:val="single"/>
              </w:rPr>
              <w:t xml:space="preserve">   </w:t>
            </w:r>
            <w:r>
              <w:rPr>
                <w:rFonts w:hint="eastAsia" w:ascii="宋体" w:hAnsi="宋体" w:eastAsia="宋体" w:cs="宋体"/>
                <w:b w:val="0"/>
                <w:bCs/>
                <w:sz w:val="21"/>
                <w:szCs w:val="21"/>
                <w:highlight w:val="none"/>
              </w:rPr>
              <w:t>:</w:t>
            </w:r>
            <w:r>
              <w:rPr>
                <w:rFonts w:hint="eastAsia" w:ascii="宋体" w:hAnsi="宋体" w:eastAsia="宋体" w:cs="宋体"/>
                <w:b w:val="0"/>
                <w:bCs/>
                <w:sz w:val="21"/>
                <w:szCs w:val="21"/>
                <w:highlight w:val="none"/>
                <w:u w:val="single"/>
              </w:rPr>
              <w:t xml:space="preserve">   </w:t>
            </w:r>
            <w:r>
              <w:rPr>
                <w:rFonts w:hint="eastAsia" w:ascii="宋体" w:hAnsi="宋体" w:eastAsia="宋体" w:cs="宋体"/>
                <w:b w:val="0"/>
                <w:bCs/>
                <w:sz w:val="21"/>
                <w:szCs w:val="21"/>
                <w:highlight w:val="none"/>
              </w:rPr>
              <w:t xml:space="preserve"> (本项目</w:t>
            </w:r>
            <w:r>
              <w:rPr>
                <w:rFonts w:hint="eastAsia" w:ascii="宋体" w:hAnsi="宋体" w:eastAsia="宋体" w:cs="宋体"/>
                <w:b w:val="0"/>
                <w:bCs/>
                <w:sz w:val="21"/>
                <w:szCs w:val="21"/>
                <w:highlight w:val="none"/>
                <w:lang w:eastAsia="zh-CN"/>
              </w:rPr>
              <w:t>报价</w:t>
            </w:r>
            <w:r>
              <w:rPr>
                <w:rFonts w:hint="eastAsia" w:ascii="宋体" w:hAnsi="宋体" w:eastAsia="宋体" w:cs="宋体"/>
                <w:b w:val="0"/>
                <w:bCs/>
                <w:sz w:val="21"/>
                <w:szCs w:val="21"/>
                <w:highlight w:val="none"/>
              </w:rPr>
              <w:t>截止时间），以</w:t>
            </w:r>
            <w:r>
              <w:rPr>
                <w:rFonts w:hint="eastAsia" w:ascii="宋体" w:hAnsi="宋体" w:eastAsia="宋体" w:cs="宋体"/>
                <w:b w:val="0"/>
                <w:bCs/>
                <w:sz w:val="21"/>
                <w:szCs w:val="21"/>
                <w:highlight w:val="none"/>
                <w:lang w:eastAsia="zh-CN"/>
              </w:rPr>
              <w:t>谈判</w:t>
            </w:r>
            <w:r>
              <w:rPr>
                <w:rFonts w:hint="eastAsia" w:ascii="宋体" w:hAnsi="宋体" w:eastAsia="宋体" w:cs="宋体"/>
                <w:b w:val="0"/>
                <w:bCs/>
                <w:sz w:val="21"/>
                <w:szCs w:val="21"/>
                <w:highlight w:val="none"/>
              </w:rPr>
              <w:t>保证金账户实际收款为准。</w:t>
            </w:r>
          </w:p>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缴纳办法：</w:t>
            </w:r>
            <w:r>
              <w:rPr>
                <w:rFonts w:hint="eastAsia" w:ascii="宋体" w:hAnsi="宋体" w:eastAsia="宋体" w:cs="宋体"/>
                <w:b w:val="0"/>
                <w:bCs/>
                <w:sz w:val="21"/>
                <w:szCs w:val="21"/>
                <w:highlight w:val="none"/>
                <w:lang w:eastAsia="zh-CN"/>
              </w:rPr>
              <w:t>报价</w:t>
            </w:r>
            <w:r>
              <w:rPr>
                <w:rFonts w:hint="eastAsia" w:ascii="宋体" w:hAnsi="宋体" w:eastAsia="宋体" w:cs="宋体"/>
                <w:b w:val="0"/>
                <w:bCs/>
                <w:sz w:val="21"/>
                <w:szCs w:val="21"/>
                <w:highlight w:val="none"/>
              </w:rPr>
              <w:t>单位必须通过</w:t>
            </w:r>
            <w:r>
              <w:rPr>
                <w:rFonts w:hint="eastAsia" w:ascii="宋体" w:hAnsi="宋体" w:eastAsia="宋体" w:cs="宋体"/>
                <w:b w:val="0"/>
                <w:bCs/>
                <w:sz w:val="21"/>
                <w:szCs w:val="21"/>
                <w:highlight w:val="none"/>
                <w:lang w:val="en-US" w:eastAsia="zh-CN"/>
              </w:rPr>
              <w:t>银行</w:t>
            </w:r>
            <w:r>
              <w:rPr>
                <w:rFonts w:hint="eastAsia" w:ascii="宋体" w:hAnsi="宋体" w:eastAsia="宋体" w:cs="宋体"/>
                <w:b w:val="0"/>
                <w:bCs/>
                <w:sz w:val="21"/>
                <w:szCs w:val="21"/>
                <w:highlight w:val="none"/>
              </w:rPr>
              <w:t>账户转账至</w:t>
            </w:r>
            <w:r>
              <w:rPr>
                <w:rFonts w:hint="eastAsia" w:ascii="宋体" w:hAnsi="宋体" w:eastAsia="宋体" w:cs="宋体"/>
                <w:b w:val="0"/>
                <w:bCs/>
                <w:sz w:val="21"/>
                <w:szCs w:val="21"/>
                <w:highlight w:val="none"/>
                <w:lang w:eastAsia="zh-CN"/>
              </w:rPr>
              <w:t>谈判</w:t>
            </w:r>
            <w:r>
              <w:rPr>
                <w:rFonts w:hint="eastAsia" w:ascii="宋体" w:hAnsi="宋体" w:eastAsia="宋体" w:cs="宋体"/>
                <w:b w:val="0"/>
                <w:bCs/>
                <w:sz w:val="21"/>
                <w:szCs w:val="21"/>
                <w:highlight w:val="none"/>
              </w:rPr>
              <w:t>保证金账户，在汇款时要在备注信息中注明本项目的编号及用途（如“项目编号，</w:t>
            </w:r>
            <w:r>
              <w:rPr>
                <w:rFonts w:hint="eastAsia" w:ascii="宋体" w:hAnsi="宋体" w:eastAsia="宋体" w:cs="宋体"/>
                <w:b w:val="0"/>
                <w:bCs/>
                <w:sz w:val="21"/>
                <w:szCs w:val="21"/>
                <w:highlight w:val="none"/>
                <w:lang w:eastAsia="zh-CN"/>
              </w:rPr>
              <w:t>谈判</w:t>
            </w:r>
            <w:r>
              <w:rPr>
                <w:rFonts w:hint="eastAsia" w:ascii="宋体" w:hAnsi="宋体" w:eastAsia="宋体" w:cs="宋体"/>
                <w:b w:val="0"/>
                <w:bCs/>
                <w:sz w:val="21"/>
                <w:szCs w:val="21"/>
                <w:highlight w:val="none"/>
              </w:rPr>
              <w:t>保证金”）。</w:t>
            </w:r>
          </w:p>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缴纳</w:t>
            </w:r>
            <w:r>
              <w:rPr>
                <w:rFonts w:hint="eastAsia" w:ascii="宋体" w:hAnsi="宋体" w:eastAsia="宋体" w:cs="宋体"/>
                <w:b w:val="0"/>
                <w:bCs/>
                <w:sz w:val="21"/>
                <w:szCs w:val="21"/>
                <w:highlight w:val="none"/>
                <w:lang w:eastAsia="zh-CN"/>
              </w:rPr>
              <w:t>谈判</w:t>
            </w:r>
            <w:r>
              <w:rPr>
                <w:rFonts w:hint="eastAsia" w:ascii="宋体" w:hAnsi="宋体" w:eastAsia="宋体" w:cs="宋体"/>
                <w:b w:val="0"/>
                <w:bCs/>
                <w:sz w:val="21"/>
                <w:szCs w:val="21"/>
                <w:highlight w:val="none"/>
              </w:rPr>
              <w:t>保证金账户信息：</w:t>
            </w:r>
            <w:r>
              <w:rPr>
                <w:rFonts w:hint="eastAsia" w:ascii="宋体" w:hAnsi="宋体" w:eastAsia="宋体" w:cs="宋体"/>
                <w:b w:val="0"/>
                <w:bCs/>
                <w:color w:val="auto"/>
                <w:sz w:val="21"/>
                <w:szCs w:val="21"/>
              </w:rPr>
              <w:t>报名成功后获取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4" w:hRule="atLeast"/>
        </w:trPr>
        <w:tc>
          <w:tcPr>
            <w:tcW w:w="5000" w:type="pct"/>
            <w:gridSpan w:val="3"/>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bCs w:val="0"/>
                <w:sz w:val="24"/>
                <w:szCs w:val="24"/>
              </w:rPr>
              <w:t>四、</w:t>
            </w:r>
            <w:r>
              <w:rPr>
                <w:rFonts w:hint="eastAsia" w:ascii="宋体" w:hAnsi="宋体" w:eastAsia="宋体" w:cs="宋体"/>
                <w:b/>
                <w:bCs w:val="0"/>
                <w:sz w:val="24"/>
                <w:szCs w:val="24"/>
                <w:lang w:eastAsia="zh-CN"/>
              </w:rPr>
              <w:t>报价</w:t>
            </w:r>
            <w:r>
              <w:rPr>
                <w:rFonts w:hint="eastAsia" w:ascii="宋体" w:hAnsi="宋体" w:eastAsia="宋体" w:cs="宋体"/>
                <w:b/>
                <w:bCs w:val="0"/>
                <w:sz w:val="24"/>
                <w:szCs w:val="24"/>
              </w:rPr>
              <w:t>文件递交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cs="宋体"/>
                <w:bCs/>
                <w:szCs w:val="21"/>
                <w:highlight w:val="none"/>
              </w:rPr>
              <w:t>第</w:t>
            </w:r>
            <w:r>
              <w:rPr>
                <w:rFonts w:hint="eastAsia" w:ascii="宋体" w:hAnsi="宋体" w:cs="宋体"/>
                <w:bCs/>
                <w:szCs w:val="21"/>
                <w:highlight w:val="none"/>
                <w:lang w:val="en-US" w:eastAsia="zh-CN"/>
              </w:rPr>
              <w:t>18.3</w:t>
            </w:r>
            <w:r>
              <w:rPr>
                <w:rFonts w:hint="eastAsia" w:ascii="宋体" w:hAnsi="宋体" w:cs="宋体"/>
                <w:bCs/>
                <w:szCs w:val="21"/>
                <w:highlight w:val="none"/>
              </w:rPr>
              <w:t>款</w:t>
            </w:r>
          </w:p>
        </w:tc>
        <w:tc>
          <w:tcPr>
            <w:tcW w:w="1910"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lang w:eastAsia="zh-CN"/>
              </w:rPr>
              <w:t>报价</w:t>
            </w:r>
            <w:r>
              <w:rPr>
                <w:rFonts w:hint="eastAsia" w:ascii="宋体" w:hAnsi="宋体" w:eastAsia="宋体" w:cs="宋体"/>
                <w:b w:val="0"/>
                <w:bCs/>
                <w:sz w:val="21"/>
                <w:szCs w:val="21"/>
                <w:highlight w:val="none"/>
              </w:rPr>
              <w:t>开始和截止时间及地点、方式</w:t>
            </w:r>
          </w:p>
        </w:tc>
        <w:tc>
          <w:tcPr>
            <w:tcW w:w="2087"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详见第四章“</w:t>
            </w:r>
            <w:r>
              <w:rPr>
                <w:rFonts w:hint="eastAsia" w:ascii="宋体" w:hAnsi="宋体" w:eastAsia="宋体" w:cs="宋体"/>
                <w:b w:val="0"/>
                <w:bCs/>
                <w:sz w:val="21"/>
                <w:szCs w:val="21"/>
                <w:highlight w:val="none"/>
                <w:lang w:eastAsia="zh-CN"/>
              </w:rPr>
              <w:t>谈判</w:t>
            </w:r>
            <w:r>
              <w:rPr>
                <w:rFonts w:hint="eastAsia" w:ascii="宋体" w:hAnsi="宋体" w:eastAsia="宋体" w:cs="宋体"/>
                <w:b w:val="0"/>
                <w:bCs/>
                <w:sz w:val="21"/>
                <w:szCs w:val="21"/>
                <w:highlight w:val="none"/>
              </w:rPr>
              <w:t>公告”第六条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5000" w:type="pct"/>
            <w:gridSpan w:val="3"/>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bCs w:val="0"/>
                <w:sz w:val="24"/>
                <w:szCs w:val="24"/>
              </w:rPr>
              <w:t>五、开标与评标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2"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第2</w:t>
            </w:r>
            <w:r>
              <w:rPr>
                <w:rFonts w:hint="eastAsia" w:ascii="宋体" w:hAnsi="宋体" w:cs="宋体"/>
                <w:bCs/>
                <w:szCs w:val="21"/>
                <w:highlight w:val="none"/>
                <w:lang w:val="en-US" w:eastAsia="zh-CN"/>
              </w:rPr>
              <w:t>0</w:t>
            </w:r>
            <w:r>
              <w:rPr>
                <w:rFonts w:hint="eastAsia" w:ascii="宋体" w:hAnsi="宋体" w:cs="宋体"/>
                <w:bCs/>
                <w:szCs w:val="21"/>
                <w:highlight w:val="none"/>
              </w:rPr>
              <w:t>.1款</w:t>
            </w:r>
          </w:p>
        </w:tc>
        <w:tc>
          <w:tcPr>
            <w:tcW w:w="1910" w:type="pct"/>
            <w:noWrap w:val="0"/>
            <w:vAlign w:val="center"/>
          </w:tcPr>
          <w:p>
            <w:pPr>
              <w:pageBreakBefore w:val="0"/>
              <w:widowControl w:val="0"/>
              <w:kinsoku/>
              <w:wordWrap/>
              <w:topLinePunct w:val="0"/>
              <w:autoSpaceDE/>
              <w:autoSpaceDN/>
              <w:bidi w:val="0"/>
              <w:spacing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开标时间及地点</w:t>
            </w:r>
          </w:p>
        </w:tc>
        <w:tc>
          <w:tcPr>
            <w:tcW w:w="2087"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详见第四章“</w:t>
            </w:r>
            <w:r>
              <w:rPr>
                <w:rFonts w:hint="eastAsia" w:ascii="宋体" w:hAnsi="宋体" w:eastAsia="宋体" w:cs="宋体"/>
                <w:b w:val="0"/>
                <w:bCs/>
                <w:sz w:val="21"/>
                <w:szCs w:val="21"/>
                <w:highlight w:val="none"/>
                <w:lang w:eastAsia="zh-CN"/>
              </w:rPr>
              <w:t>谈判</w:t>
            </w:r>
            <w:r>
              <w:rPr>
                <w:rFonts w:hint="eastAsia" w:ascii="宋体" w:hAnsi="宋体" w:eastAsia="宋体" w:cs="宋体"/>
                <w:b w:val="0"/>
                <w:bCs/>
                <w:sz w:val="21"/>
                <w:szCs w:val="21"/>
                <w:highlight w:val="none"/>
              </w:rPr>
              <w:t>公告”第</w:t>
            </w:r>
            <w:r>
              <w:rPr>
                <w:rFonts w:hint="eastAsia" w:ascii="宋体" w:hAnsi="宋体" w:eastAsia="宋体" w:cs="宋体"/>
                <w:b w:val="0"/>
                <w:bCs/>
                <w:sz w:val="21"/>
                <w:szCs w:val="21"/>
                <w:highlight w:val="none"/>
                <w:lang w:eastAsia="zh-CN"/>
              </w:rPr>
              <w:t>六</w:t>
            </w:r>
            <w:r>
              <w:rPr>
                <w:rFonts w:hint="eastAsia" w:ascii="宋体" w:hAnsi="宋体" w:eastAsia="宋体" w:cs="宋体"/>
                <w:b w:val="0"/>
                <w:bCs/>
                <w:sz w:val="21"/>
                <w:szCs w:val="21"/>
                <w:highlight w:val="none"/>
              </w:rPr>
              <w:t>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002"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第2</w:t>
            </w:r>
            <w:r>
              <w:rPr>
                <w:rFonts w:hint="eastAsia" w:ascii="宋体" w:hAnsi="宋体" w:cs="宋体"/>
                <w:bCs/>
                <w:szCs w:val="21"/>
                <w:highlight w:val="none"/>
                <w:lang w:val="en-US" w:eastAsia="zh-CN"/>
              </w:rPr>
              <w:t>3</w:t>
            </w:r>
            <w:r>
              <w:rPr>
                <w:rFonts w:hint="eastAsia" w:ascii="宋体" w:hAnsi="宋体" w:cs="宋体"/>
                <w:bCs/>
                <w:szCs w:val="21"/>
                <w:highlight w:val="none"/>
              </w:rPr>
              <w:t>.1款</w:t>
            </w:r>
          </w:p>
        </w:tc>
        <w:tc>
          <w:tcPr>
            <w:tcW w:w="1910"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lang w:eastAsia="zh-CN"/>
              </w:rPr>
            </w:pPr>
            <w:r>
              <w:rPr>
                <w:rFonts w:hint="eastAsia" w:ascii="宋体" w:hAnsi="宋体" w:eastAsia="宋体" w:cs="宋体"/>
                <w:b w:val="0"/>
                <w:bCs/>
                <w:sz w:val="21"/>
                <w:szCs w:val="21"/>
                <w:highlight w:val="none"/>
                <w:lang w:eastAsia="zh-CN"/>
              </w:rPr>
              <w:t>资格性审查标准</w:t>
            </w:r>
          </w:p>
        </w:tc>
        <w:tc>
          <w:tcPr>
            <w:tcW w:w="2087"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详见本章附表1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2"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第2</w:t>
            </w:r>
            <w:r>
              <w:rPr>
                <w:rFonts w:hint="eastAsia" w:ascii="宋体" w:hAnsi="宋体" w:cs="宋体"/>
                <w:bCs/>
                <w:szCs w:val="21"/>
                <w:highlight w:val="none"/>
                <w:lang w:val="en-US" w:eastAsia="zh-CN"/>
              </w:rPr>
              <w:t>3</w:t>
            </w:r>
            <w:r>
              <w:rPr>
                <w:rFonts w:hint="eastAsia" w:ascii="宋体" w:hAnsi="宋体" w:cs="宋体"/>
                <w:bCs/>
                <w:szCs w:val="21"/>
                <w:highlight w:val="none"/>
              </w:rPr>
              <w:t>.2款</w:t>
            </w:r>
          </w:p>
        </w:tc>
        <w:tc>
          <w:tcPr>
            <w:tcW w:w="1910"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符合性审查标准</w:t>
            </w:r>
          </w:p>
        </w:tc>
        <w:tc>
          <w:tcPr>
            <w:tcW w:w="2087"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详见本章附表2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2"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第2</w:t>
            </w:r>
            <w:r>
              <w:rPr>
                <w:rFonts w:hint="eastAsia" w:ascii="宋体" w:hAnsi="宋体" w:cs="宋体"/>
                <w:bCs/>
                <w:szCs w:val="21"/>
                <w:highlight w:val="none"/>
                <w:lang w:val="en-US" w:eastAsia="zh-CN"/>
              </w:rPr>
              <w:t>3</w:t>
            </w:r>
            <w:r>
              <w:rPr>
                <w:rFonts w:hint="eastAsia" w:ascii="宋体" w:hAnsi="宋体" w:cs="宋体"/>
                <w:bCs/>
                <w:szCs w:val="21"/>
                <w:highlight w:val="none"/>
              </w:rPr>
              <w:t>.3（1）项</w:t>
            </w:r>
          </w:p>
        </w:tc>
        <w:tc>
          <w:tcPr>
            <w:tcW w:w="1910"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商务评审标准</w:t>
            </w:r>
          </w:p>
        </w:tc>
        <w:tc>
          <w:tcPr>
            <w:tcW w:w="2087"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详见本章附表3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2"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第2</w:t>
            </w:r>
            <w:r>
              <w:rPr>
                <w:rFonts w:hint="eastAsia" w:ascii="宋体" w:hAnsi="宋体" w:cs="宋体"/>
                <w:bCs/>
                <w:szCs w:val="21"/>
                <w:highlight w:val="none"/>
                <w:lang w:val="en-US" w:eastAsia="zh-CN"/>
              </w:rPr>
              <w:t>3</w:t>
            </w:r>
            <w:r>
              <w:rPr>
                <w:rFonts w:hint="eastAsia" w:ascii="宋体" w:hAnsi="宋体" w:cs="宋体"/>
                <w:bCs/>
                <w:szCs w:val="21"/>
                <w:highlight w:val="none"/>
              </w:rPr>
              <w:t>.3（2）项</w:t>
            </w:r>
          </w:p>
        </w:tc>
        <w:tc>
          <w:tcPr>
            <w:tcW w:w="1910"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技术评审标准</w:t>
            </w:r>
          </w:p>
        </w:tc>
        <w:tc>
          <w:tcPr>
            <w:tcW w:w="2087"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详见本章附表4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2"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第2</w:t>
            </w:r>
            <w:r>
              <w:rPr>
                <w:rFonts w:hint="eastAsia" w:ascii="宋体" w:hAnsi="宋体" w:cs="宋体"/>
                <w:bCs/>
                <w:szCs w:val="21"/>
                <w:highlight w:val="none"/>
                <w:lang w:val="en-US" w:eastAsia="zh-CN"/>
              </w:rPr>
              <w:t>8</w:t>
            </w:r>
            <w:r>
              <w:rPr>
                <w:rFonts w:hint="eastAsia" w:ascii="宋体" w:hAnsi="宋体" w:cs="宋体"/>
                <w:bCs/>
                <w:szCs w:val="21"/>
                <w:highlight w:val="none"/>
              </w:rPr>
              <w:t>.1（</w:t>
            </w:r>
            <w:r>
              <w:rPr>
                <w:rFonts w:hint="eastAsia" w:ascii="宋体" w:hAnsi="宋体" w:cs="宋体"/>
                <w:bCs/>
                <w:szCs w:val="21"/>
                <w:highlight w:val="none"/>
                <w:lang w:val="en-US" w:eastAsia="zh-CN"/>
              </w:rPr>
              <w:t>2</w:t>
            </w:r>
            <w:r>
              <w:rPr>
                <w:rFonts w:hint="eastAsia" w:ascii="宋体" w:hAnsi="宋体" w:cs="宋体"/>
                <w:bCs/>
                <w:szCs w:val="21"/>
                <w:highlight w:val="none"/>
              </w:rPr>
              <w:t>）项</w:t>
            </w:r>
          </w:p>
        </w:tc>
        <w:tc>
          <w:tcPr>
            <w:tcW w:w="1910"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非实质性偏离的范围和幅度</w:t>
            </w:r>
          </w:p>
        </w:tc>
        <w:tc>
          <w:tcPr>
            <w:tcW w:w="2087" w:type="pct"/>
            <w:noWrap w:val="0"/>
            <w:vAlign w:val="center"/>
          </w:tcPr>
          <w:p>
            <w:pPr>
              <w:pageBreakBefore w:val="0"/>
              <w:widowControl/>
              <w:kinsoku/>
              <w:wordWrap/>
              <w:topLinePunct w:val="0"/>
              <w:autoSpaceDE/>
              <w:autoSpaceDN/>
              <w:bidi w:val="0"/>
              <w:adjustRightInd/>
              <w:snapToGrid/>
              <w:spacing w:before="0" w:beforeLines="0" w:line="240" w:lineRule="auto"/>
              <w:jc w:val="left"/>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 xml:space="preserve">□ </w:t>
            </w:r>
            <w:r>
              <w:rPr>
                <w:rFonts w:hint="eastAsia" w:ascii="宋体" w:hAnsi="宋体" w:eastAsia="宋体" w:cs="宋体"/>
                <w:b w:val="0"/>
                <w:bCs/>
                <w:sz w:val="21"/>
                <w:szCs w:val="21"/>
                <w:highlight w:val="none"/>
                <w:lang w:eastAsia="zh-CN"/>
              </w:rPr>
              <w:t>谈判</w:t>
            </w:r>
            <w:r>
              <w:rPr>
                <w:rFonts w:hint="eastAsia" w:ascii="宋体" w:hAnsi="宋体" w:eastAsia="宋体" w:cs="宋体"/>
                <w:b w:val="0"/>
                <w:bCs/>
                <w:sz w:val="21"/>
                <w:szCs w:val="21"/>
                <w:highlight w:val="none"/>
              </w:rPr>
              <w:t>文件中非实质性商务条款偏离</w:t>
            </w:r>
            <w:r>
              <w:rPr>
                <w:rFonts w:hint="eastAsia" w:ascii="宋体" w:hAnsi="宋体" w:eastAsia="宋体" w:cs="宋体"/>
                <w:b w:val="0"/>
                <w:bCs/>
                <w:sz w:val="21"/>
                <w:szCs w:val="21"/>
                <w:highlight w:val="none"/>
                <w:u w:val="none"/>
              </w:rPr>
              <w:t xml:space="preserve">   </w:t>
            </w:r>
            <w:r>
              <w:rPr>
                <w:rFonts w:hint="eastAsia" w:ascii="宋体" w:hAnsi="宋体" w:eastAsia="宋体" w:cs="宋体"/>
                <w:b w:val="0"/>
                <w:bCs/>
                <w:sz w:val="21"/>
                <w:szCs w:val="21"/>
                <w:highlight w:val="none"/>
                <w:u w:val="single"/>
              </w:rPr>
              <w:t xml:space="preserve">   </w:t>
            </w:r>
            <w:r>
              <w:rPr>
                <w:rFonts w:hint="eastAsia" w:ascii="宋体" w:hAnsi="宋体" w:eastAsia="宋体" w:cs="宋体"/>
                <w:b w:val="0"/>
                <w:bCs/>
                <w:sz w:val="21"/>
                <w:szCs w:val="21"/>
                <w:highlight w:val="none"/>
              </w:rPr>
              <w:t>项及以上将导致</w:t>
            </w:r>
            <w:r>
              <w:rPr>
                <w:rFonts w:hint="eastAsia" w:ascii="宋体" w:hAnsi="宋体" w:eastAsia="宋体" w:cs="宋体"/>
                <w:b w:val="0"/>
                <w:bCs/>
                <w:sz w:val="21"/>
                <w:szCs w:val="21"/>
                <w:highlight w:val="none"/>
                <w:lang w:eastAsia="zh-CN"/>
              </w:rPr>
              <w:t>报价</w:t>
            </w:r>
            <w:r>
              <w:rPr>
                <w:rFonts w:hint="eastAsia" w:ascii="宋体" w:hAnsi="宋体" w:eastAsia="宋体" w:cs="宋体"/>
                <w:b w:val="0"/>
                <w:bCs/>
                <w:sz w:val="21"/>
                <w:szCs w:val="21"/>
                <w:highlight w:val="none"/>
              </w:rPr>
              <w:t>无效；</w:t>
            </w:r>
          </w:p>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 xml:space="preserve">□ </w:t>
            </w:r>
            <w:r>
              <w:rPr>
                <w:rFonts w:hint="eastAsia" w:ascii="宋体" w:hAnsi="宋体" w:eastAsia="宋体" w:cs="宋体"/>
                <w:b w:val="0"/>
                <w:bCs/>
                <w:sz w:val="21"/>
                <w:szCs w:val="21"/>
                <w:highlight w:val="none"/>
                <w:lang w:eastAsia="zh-CN"/>
              </w:rPr>
              <w:t>谈判</w:t>
            </w:r>
            <w:r>
              <w:rPr>
                <w:rFonts w:hint="eastAsia" w:ascii="宋体" w:hAnsi="宋体" w:eastAsia="宋体" w:cs="宋体"/>
                <w:b w:val="0"/>
                <w:bCs/>
                <w:sz w:val="21"/>
                <w:szCs w:val="21"/>
                <w:highlight w:val="none"/>
              </w:rPr>
              <w:t>文件中非实质性技术参数偏离</w:t>
            </w:r>
            <w:r>
              <w:rPr>
                <w:rFonts w:hint="eastAsia" w:ascii="宋体" w:hAnsi="宋体" w:eastAsia="宋体" w:cs="宋体"/>
                <w:b w:val="0"/>
                <w:bCs/>
                <w:sz w:val="21"/>
                <w:szCs w:val="21"/>
                <w:highlight w:val="none"/>
                <w:u w:val="none"/>
              </w:rPr>
              <w:t xml:space="preserve">   </w:t>
            </w:r>
            <w:r>
              <w:rPr>
                <w:rFonts w:hint="eastAsia" w:ascii="宋体" w:hAnsi="宋体" w:eastAsia="宋体" w:cs="宋体"/>
                <w:b w:val="0"/>
                <w:bCs/>
                <w:sz w:val="21"/>
                <w:szCs w:val="21"/>
                <w:highlight w:val="none"/>
              </w:rPr>
              <w:t>项及以上将导致</w:t>
            </w:r>
            <w:r>
              <w:rPr>
                <w:rFonts w:hint="eastAsia" w:ascii="宋体" w:hAnsi="宋体" w:eastAsia="宋体" w:cs="宋体"/>
                <w:b w:val="0"/>
                <w:bCs/>
                <w:sz w:val="21"/>
                <w:szCs w:val="21"/>
                <w:highlight w:val="none"/>
                <w:lang w:eastAsia="zh-CN"/>
              </w:rPr>
              <w:t>报价</w:t>
            </w:r>
            <w:r>
              <w:rPr>
                <w:rFonts w:hint="eastAsia" w:ascii="宋体" w:hAnsi="宋体" w:eastAsia="宋体" w:cs="宋体"/>
                <w:b w:val="0"/>
                <w:bCs/>
                <w:sz w:val="21"/>
                <w:szCs w:val="21"/>
                <w:highlight w:val="none"/>
              </w:rPr>
              <w:t>无效；</w:t>
            </w:r>
          </w:p>
          <w:p>
            <w:pPr>
              <w:pageBreakBefore w:val="0"/>
              <w:widowControl w:val="0"/>
              <w:kinsoku/>
              <w:wordWrap/>
              <w:topLinePunct w:val="0"/>
              <w:autoSpaceDE/>
              <w:autoSpaceDN/>
              <w:bidi w:val="0"/>
              <w:adjustRightInd w:val="0"/>
              <w:snapToGrid w:val="0"/>
              <w:spacing w:before="156" w:beforeLines="50" w:line="240" w:lineRule="auto"/>
              <w:jc w:val="both"/>
              <w:rPr>
                <w:rFonts w:hint="default"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rPr>
              <w:sym w:font="Wingdings 2" w:char="0052"/>
            </w:r>
            <w:r>
              <w:rPr>
                <w:rFonts w:hint="eastAsia" w:ascii="宋体" w:hAnsi="宋体" w:eastAsia="宋体" w:cs="宋体"/>
                <w:b w:val="0"/>
                <w:bCs/>
                <w:sz w:val="21"/>
                <w:szCs w:val="21"/>
                <w:highlight w:val="none"/>
                <w:lang w:val="en-US" w:eastAsia="zh-CN"/>
              </w:rPr>
              <w:t xml:space="preserve">  本项目不涉及；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1" w:hRule="atLeast"/>
        </w:trPr>
        <w:tc>
          <w:tcPr>
            <w:tcW w:w="1002"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第2</w:t>
            </w:r>
            <w:r>
              <w:rPr>
                <w:rFonts w:hint="eastAsia" w:ascii="宋体" w:hAnsi="宋体" w:cs="宋体"/>
                <w:bCs/>
                <w:szCs w:val="21"/>
                <w:highlight w:val="none"/>
                <w:lang w:val="en-US" w:eastAsia="zh-CN"/>
              </w:rPr>
              <w:t>2</w:t>
            </w:r>
            <w:r>
              <w:rPr>
                <w:rFonts w:hint="eastAsia" w:ascii="宋体" w:hAnsi="宋体" w:cs="宋体"/>
                <w:bCs/>
                <w:szCs w:val="21"/>
                <w:highlight w:val="none"/>
              </w:rPr>
              <w:t>.</w:t>
            </w:r>
            <w:r>
              <w:rPr>
                <w:rFonts w:hint="eastAsia" w:ascii="宋体" w:hAnsi="宋体" w:cs="宋体"/>
                <w:bCs/>
                <w:szCs w:val="21"/>
                <w:highlight w:val="none"/>
                <w:lang w:val="en-US" w:eastAsia="zh-CN"/>
              </w:rPr>
              <w:t>1</w:t>
            </w:r>
            <w:r>
              <w:rPr>
                <w:rFonts w:hint="eastAsia" w:ascii="宋体" w:hAnsi="宋体" w:cs="宋体"/>
                <w:bCs/>
                <w:szCs w:val="21"/>
                <w:highlight w:val="none"/>
              </w:rPr>
              <w:t>款</w:t>
            </w:r>
          </w:p>
        </w:tc>
        <w:tc>
          <w:tcPr>
            <w:tcW w:w="1910"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评审方法</w:t>
            </w:r>
          </w:p>
        </w:tc>
        <w:tc>
          <w:tcPr>
            <w:tcW w:w="2087" w:type="pct"/>
            <w:noWrap w:val="0"/>
            <w:vAlign w:val="center"/>
          </w:tcPr>
          <w:p>
            <w:pPr>
              <w:pageBreakBefore w:val="0"/>
              <w:widowControl/>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sym w:font="Wingdings 2" w:char="00A3"/>
            </w:r>
            <w:r>
              <w:rPr>
                <w:rFonts w:hint="eastAsia" w:ascii="宋体" w:hAnsi="宋体" w:eastAsia="宋体" w:cs="宋体"/>
                <w:b w:val="0"/>
                <w:bCs/>
                <w:sz w:val="21"/>
                <w:szCs w:val="21"/>
              </w:rPr>
              <w:t xml:space="preserve"> 经评审的最低价法</w:t>
            </w:r>
          </w:p>
          <w:p>
            <w:pPr>
              <w:adjustRightInd w:val="0"/>
              <w:snapToGrid w:val="0"/>
              <w:spacing w:before="156" w:beforeLines="50"/>
              <w:ind w:firstLine="0" w:firstLineChars="0"/>
              <w:rPr>
                <w:rFonts w:hint="eastAsia" w:ascii="宋体" w:hAnsi="宋体" w:eastAsia="宋体" w:cs="宋体"/>
                <w:b w:val="0"/>
                <w:bCs/>
                <w:sz w:val="21"/>
                <w:szCs w:val="21"/>
              </w:rPr>
            </w:pPr>
            <w:r>
              <w:rPr>
                <w:rFonts w:hint="eastAsia" w:ascii="宋体" w:hAnsi="宋体" w:eastAsia="宋体" w:cs="宋体"/>
                <w:b w:val="0"/>
                <w:bCs/>
                <w:sz w:val="21"/>
                <w:szCs w:val="21"/>
              </w:rPr>
              <w:sym w:font="Wingdings 2" w:char="0052"/>
            </w:r>
            <w:r>
              <w:rPr>
                <w:rFonts w:hint="eastAsia" w:ascii="宋体" w:hAnsi="宋体" w:eastAsia="宋体" w:cs="宋体"/>
                <w:b w:val="0"/>
                <w:bCs/>
                <w:sz w:val="21"/>
                <w:szCs w:val="21"/>
              </w:rPr>
              <w:t xml:space="preserve"> 综合评分法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9" w:hRule="atLeast"/>
        </w:trPr>
        <w:tc>
          <w:tcPr>
            <w:tcW w:w="100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第</w:t>
            </w:r>
            <w:r>
              <w:rPr>
                <w:rFonts w:hint="eastAsia" w:ascii="宋体" w:hAnsi="宋体" w:eastAsia="宋体" w:cs="宋体"/>
                <w:b w:val="0"/>
                <w:bCs/>
                <w:sz w:val="21"/>
                <w:szCs w:val="21"/>
                <w:lang w:val="en-US" w:eastAsia="zh-CN"/>
              </w:rPr>
              <w:t>30</w:t>
            </w:r>
            <w:r>
              <w:rPr>
                <w:rFonts w:hint="eastAsia" w:ascii="宋体" w:hAnsi="宋体" w:eastAsia="宋体" w:cs="宋体"/>
                <w:b w:val="0"/>
                <w:bCs/>
                <w:sz w:val="21"/>
                <w:szCs w:val="21"/>
              </w:rPr>
              <w:t>.3款</w:t>
            </w:r>
          </w:p>
        </w:tc>
        <w:tc>
          <w:tcPr>
            <w:tcW w:w="1910"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样品评审方法</w:t>
            </w:r>
          </w:p>
        </w:tc>
        <w:tc>
          <w:tcPr>
            <w:tcW w:w="2087"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本项目不涉及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第</w:t>
            </w:r>
            <w:r>
              <w:rPr>
                <w:rFonts w:hint="eastAsia" w:ascii="宋体" w:hAnsi="宋体" w:eastAsia="宋体" w:cs="宋体"/>
                <w:b w:val="0"/>
                <w:bCs/>
                <w:sz w:val="21"/>
                <w:szCs w:val="21"/>
                <w:lang w:val="en-US" w:eastAsia="zh-CN"/>
              </w:rPr>
              <w:t>30</w:t>
            </w:r>
            <w:r>
              <w:rPr>
                <w:rFonts w:hint="eastAsia" w:ascii="宋体" w:hAnsi="宋体" w:eastAsia="宋体" w:cs="宋体"/>
                <w:b w:val="0"/>
                <w:bCs/>
                <w:sz w:val="21"/>
                <w:szCs w:val="21"/>
              </w:rPr>
              <w:t>.4（1）项</w:t>
            </w:r>
          </w:p>
        </w:tc>
        <w:tc>
          <w:tcPr>
            <w:tcW w:w="1910"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相同品牌供应商得分或者报价相同的规定</w:t>
            </w:r>
          </w:p>
        </w:tc>
        <w:tc>
          <w:tcPr>
            <w:tcW w:w="2087"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cs="宋体"/>
                <w:b w:val="0"/>
                <w:bCs/>
                <w:color w:val="auto"/>
                <w:sz w:val="21"/>
                <w:szCs w:val="21"/>
                <w:highlight w:val="none"/>
                <w:lang w:val="en-US" w:eastAsia="zh-CN"/>
              </w:rPr>
              <w:t>见前述条款。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第</w:t>
            </w:r>
            <w:r>
              <w:rPr>
                <w:rFonts w:hint="eastAsia" w:ascii="宋体" w:hAnsi="宋体" w:eastAsia="宋体" w:cs="宋体"/>
                <w:b w:val="0"/>
                <w:bCs/>
                <w:sz w:val="21"/>
                <w:szCs w:val="21"/>
                <w:lang w:val="en-US" w:eastAsia="zh-CN"/>
              </w:rPr>
              <w:t>30</w:t>
            </w:r>
            <w:r>
              <w:rPr>
                <w:rFonts w:hint="eastAsia" w:ascii="宋体" w:hAnsi="宋体" w:eastAsia="宋体" w:cs="宋体"/>
                <w:b w:val="0"/>
                <w:bCs/>
                <w:sz w:val="21"/>
                <w:szCs w:val="21"/>
              </w:rPr>
              <w:t>.4（2）项</w:t>
            </w:r>
          </w:p>
        </w:tc>
        <w:tc>
          <w:tcPr>
            <w:tcW w:w="1910"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核心产品的规定</w:t>
            </w:r>
          </w:p>
        </w:tc>
        <w:tc>
          <w:tcPr>
            <w:tcW w:w="2087"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cs="宋体"/>
                <w:b w:val="0"/>
                <w:bCs/>
                <w:color w:val="auto"/>
                <w:sz w:val="21"/>
                <w:szCs w:val="21"/>
                <w:highlight w:val="none"/>
                <w:lang w:val="en-US" w:eastAsia="zh-CN"/>
              </w:rPr>
              <w:t>见前述条款。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5000" w:type="pct"/>
            <w:gridSpan w:val="3"/>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bCs w:val="0"/>
                <w:sz w:val="24"/>
                <w:szCs w:val="24"/>
              </w:rPr>
              <w:t>六、质疑、投诉和投诉复议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2"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w:t>
            </w:r>
            <w:r>
              <w:rPr>
                <w:rFonts w:hint="eastAsia" w:ascii="宋体" w:hAnsi="宋体" w:cs="宋体"/>
                <w:bCs/>
                <w:szCs w:val="21"/>
                <w:highlight w:val="none"/>
                <w:lang w:val="en-US" w:eastAsia="zh-CN"/>
              </w:rPr>
              <w:t>44</w:t>
            </w:r>
            <w:r>
              <w:rPr>
                <w:rFonts w:hint="eastAsia" w:ascii="宋体" w:hAnsi="宋体" w:cs="宋体"/>
                <w:bCs/>
                <w:szCs w:val="21"/>
                <w:highlight w:val="none"/>
              </w:rPr>
              <w:t>.4款</w:t>
            </w:r>
          </w:p>
        </w:tc>
        <w:tc>
          <w:tcPr>
            <w:tcW w:w="1910"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采购机构质疑处理部门及联系方式</w:t>
            </w:r>
          </w:p>
        </w:tc>
        <w:tc>
          <w:tcPr>
            <w:tcW w:w="2087"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default" w:ascii="宋体" w:hAnsi="宋体" w:eastAsia="宋体" w:cs="宋体"/>
                <w:b w:val="0"/>
                <w:bCs/>
                <w:sz w:val="21"/>
                <w:szCs w:val="21"/>
                <w:lang w:val="en-US" w:eastAsia="zh-CN"/>
              </w:rPr>
            </w:pPr>
            <w:r>
              <w:rPr>
                <w:rFonts w:hint="eastAsia" w:ascii="宋体" w:hAnsi="宋体" w:eastAsia="宋体" w:cs="宋体"/>
                <w:b w:val="0"/>
                <w:bCs/>
                <w:sz w:val="21"/>
                <w:szCs w:val="21"/>
              </w:rPr>
              <w:t>联系人：</w:t>
            </w:r>
            <w:r>
              <w:rPr>
                <w:rFonts w:hint="eastAsia"/>
                <w:lang w:val="en-US" w:eastAsia="zh-CN"/>
              </w:rPr>
              <w:t>夏助理</w:t>
            </w:r>
          </w:p>
          <w:p>
            <w:pPr>
              <w:pageBreakBefore w:val="0"/>
              <w:widowControl w:val="0"/>
              <w:kinsoku/>
              <w:wordWrap/>
              <w:topLinePunct w:val="0"/>
              <w:autoSpaceDE/>
              <w:autoSpaceDN/>
              <w:bidi w:val="0"/>
              <w:adjustRightInd w:val="0"/>
              <w:snapToGrid w:val="0"/>
              <w:spacing w:before="156" w:beforeLines="50" w:line="240" w:lineRule="auto"/>
              <w:jc w:val="both"/>
              <w:rPr>
                <w:rFonts w:hint="default" w:ascii="宋体" w:hAnsi="宋体" w:eastAsia="宋体" w:cs="宋体"/>
                <w:b w:val="0"/>
                <w:bCs/>
                <w:sz w:val="21"/>
                <w:szCs w:val="21"/>
                <w:lang w:val="en-US" w:eastAsia="zh-CN"/>
              </w:rPr>
            </w:pPr>
            <w:r>
              <w:rPr>
                <w:rFonts w:hint="eastAsia" w:ascii="宋体" w:hAnsi="宋体" w:eastAsia="宋体" w:cs="宋体"/>
                <w:b w:val="0"/>
                <w:bCs/>
                <w:sz w:val="21"/>
                <w:szCs w:val="21"/>
              </w:rPr>
              <w:t>联系方式：</w:t>
            </w:r>
            <w:r>
              <w:rPr>
                <w:rFonts w:hint="eastAsia" w:ascii="宋体" w:hAnsi="宋体" w:eastAsia="宋体" w:cs="宋体"/>
                <w:b w:val="0"/>
                <w:bCs/>
                <w:sz w:val="21"/>
                <w:szCs w:val="21"/>
                <w:lang w:val="en-US" w:eastAsia="zh-CN"/>
              </w:rPr>
              <w:t>023-68763908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77" w:hRule="atLeast"/>
        </w:trPr>
        <w:tc>
          <w:tcPr>
            <w:tcW w:w="1002"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w:t>
            </w:r>
            <w:r>
              <w:rPr>
                <w:rFonts w:hint="eastAsia" w:ascii="宋体" w:hAnsi="宋体" w:cs="宋体"/>
                <w:bCs/>
                <w:szCs w:val="21"/>
                <w:highlight w:val="none"/>
                <w:lang w:val="en-US" w:eastAsia="zh-CN"/>
              </w:rPr>
              <w:t>45</w:t>
            </w:r>
            <w:r>
              <w:rPr>
                <w:rFonts w:hint="eastAsia" w:ascii="宋体" w:hAnsi="宋体" w:cs="宋体"/>
                <w:bCs/>
                <w:szCs w:val="21"/>
                <w:highlight w:val="none"/>
              </w:rPr>
              <w:t>.4款</w:t>
            </w:r>
          </w:p>
        </w:tc>
        <w:tc>
          <w:tcPr>
            <w:tcW w:w="1910"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受理、处理</w:t>
            </w:r>
            <w:r>
              <w:rPr>
                <w:rFonts w:hint="eastAsia" w:ascii="宋体" w:hAnsi="宋体" w:eastAsia="宋体" w:cs="宋体"/>
                <w:b w:val="0"/>
                <w:bCs/>
                <w:sz w:val="21"/>
                <w:szCs w:val="21"/>
                <w:lang w:eastAsia="zh-CN"/>
              </w:rPr>
              <w:t>报价</w:t>
            </w:r>
            <w:r>
              <w:rPr>
                <w:rFonts w:hint="eastAsia" w:ascii="宋体" w:hAnsi="宋体" w:eastAsia="宋体" w:cs="宋体"/>
                <w:b w:val="0"/>
                <w:bCs/>
                <w:sz w:val="21"/>
                <w:szCs w:val="21"/>
              </w:rPr>
              <w:t>供应商部门及联系方式</w:t>
            </w:r>
          </w:p>
        </w:tc>
        <w:tc>
          <w:tcPr>
            <w:tcW w:w="2087"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处理部门：大学供应保障处</w:t>
            </w:r>
          </w:p>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联系人：王参谋</w:t>
            </w:r>
          </w:p>
          <w:p>
            <w:pPr>
              <w:pageBreakBefore w:val="0"/>
              <w:widowControl w:val="0"/>
              <w:kinsoku/>
              <w:wordWrap/>
              <w:topLinePunct w:val="0"/>
              <w:autoSpaceDE/>
              <w:autoSpaceDN/>
              <w:bidi w:val="0"/>
              <w:adjustRightInd w:val="0"/>
              <w:snapToGrid w:val="0"/>
              <w:spacing w:before="156" w:beforeLines="50" w:line="240" w:lineRule="auto"/>
              <w:jc w:val="both"/>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联系方式：023-68752144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2"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w:t>
            </w:r>
            <w:r>
              <w:rPr>
                <w:rFonts w:hint="eastAsia" w:ascii="宋体" w:hAnsi="宋体" w:cs="宋体"/>
                <w:bCs/>
                <w:szCs w:val="21"/>
                <w:highlight w:val="none"/>
                <w:lang w:val="en-US" w:eastAsia="zh-CN"/>
              </w:rPr>
              <w:t>46</w:t>
            </w:r>
            <w:r>
              <w:rPr>
                <w:rFonts w:hint="eastAsia" w:ascii="宋体" w:hAnsi="宋体" w:cs="宋体"/>
                <w:bCs/>
                <w:szCs w:val="21"/>
                <w:highlight w:val="none"/>
              </w:rPr>
              <w:t>.4款</w:t>
            </w:r>
          </w:p>
        </w:tc>
        <w:tc>
          <w:tcPr>
            <w:tcW w:w="1910"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受理、处理投诉复议申请部门及联系方式</w:t>
            </w:r>
          </w:p>
        </w:tc>
        <w:tc>
          <w:tcPr>
            <w:tcW w:w="2087"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处理部门：采购供应局</w:t>
            </w:r>
          </w:p>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联系人：李助理</w:t>
            </w:r>
          </w:p>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联系方式：010-66718844</w:t>
            </w:r>
          </w:p>
        </w:tc>
      </w:tr>
    </w:tbl>
    <w:p>
      <w:pPr>
        <w:rPr>
          <w:b w:val="0"/>
          <w:bCs/>
        </w:rPr>
      </w:pPr>
    </w:p>
    <w:p>
      <w:pPr>
        <w:rPr>
          <w:rFonts w:hint="eastAsia" w:ascii="Arial" w:hAnsi="Arial" w:eastAsia="方正小标宋简体" w:cs="Times New Roman"/>
          <w:b w:val="0"/>
          <w:bCs/>
          <w:kern w:val="2"/>
          <w:sz w:val="44"/>
          <w:szCs w:val="44"/>
          <w:lang w:val="zh-CN" w:eastAsia="zh-CN" w:bidi="ar-SA"/>
        </w:rPr>
      </w:pPr>
      <w:bookmarkStart w:id="624" w:name="_Toc29486"/>
      <w:bookmarkStart w:id="625" w:name="_Toc21723"/>
      <w:bookmarkStart w:id="626" w:name="_Toc9309"/>
      <w:bookmarkStart w:id="627" w:name="_Toc20239"/>
      <w:r>
        <w:rPr>
          <w:rFonts w:hint="eastAsia" w:ascii="Arial" w:hAnsi="Arial" w:eastAsia="方正小标宋简体" w:cs="Times New Roman"/>
          <w:b w:val="0"/>
          <w:bCs/>
          <w:kern w:val="2"/>
          <w:sz w:val="44"/>
          <w:szCs w:val="44"/>
          <w:lang w:val="zh-CN" w:eastAsia="zh-CN" w:bidi="ar-SA"/>
        </w:rPr>
        <w:br w:type="page"/>
      </w:r>
    </w:p>
    <w:p>
      <w:pPr>
        <w:widowControl/>
        <w:jc w:val="center"/>
        <w:outlineLvl w:val="1"/>
        <w:rPr>
          <w:rFonts w:hint="eastAsia" w:ascii="Arial" w:hAnsi="Arial" w:eastAsia="方正小标宋简体" w:cs="Times New Roman"/>
          <w:b w:val="0"/>
          <w:bCs/>
          <w:kern w:val="2"/>
          <w:sz w:val="44"/>
          <w:szCs w:val="44"/>
          <w:lang w:val="zh-CN" w:eastAsia="zh-CN" w:bidi="ar-SA"/>
        </w:rPr>
      </w:pPr>
      <w:bookmarkStart w:id="628" w:name="_Toc13654"/>
      <w:bookmarkStart w:id="629" w:name="_Toc27713"/>
      <w:r>
        <w:rPr>
          <w:rFonts w:hint="eastAsia" w:ascii="Arial" w:hAnsi="Arial" w:eastAsia="方正小标宋简体" w:cs="Times New Roman"/>
          <w:b w:val="0"/>
          <w:bCs/>
          <w:kern w:val="2"/>
          <w:sz w:val="44"/>
          <w:szCs w:val="44"/>
          <w:lang w:val="zh-CN" w:eastAsia="zh-CN" w:bidi="ar-SA"/>
        </w:rPr>
        <w:t>第四章 谈判公告</w:t>
      </w:r>
      <w:bookmarkEnd w:id="619"/>
      <w:bookmarkEnd w:id="620"/>
      <w:bookmarkEnd w:id="621"/>
      <w:bookmarkEnd w:id="624"/>
      <w:bookmarkEnd w:id="625"/>
      <w:bookmarkEnd w:id="626"/>
      <w:bookmarkEnd w:id="627"/>
      <w:bookmarkEnd w:id="628"/>
      <w:bookmarkEnd w:id="629"/>
    </w:p>
    <w:p>
      <w:pPr>
        <w:pStyle w:val="159"/>
        <w:rPr>
          <w:rFonts w:hint="eastAsia" w:eastAsia="宋体" w:asciiTheme="minorHAnsi" w:hAnsiTheme="minorHAnsi" w:cstheme="minorBidi"/>
          <w:szCs w:val="22"/>
        </w:rPr>
      </w:pPr>
      <w:r>
        <w:rPr>
          <w:rFonts w:hint="eastAsia" w:eastAsia="宋体" w:asciiTheme="minorHAnsi" w:hAnsiTheme="minorHAnsi" w:cstheme="minorBidi"/>
          <w:szCs w:val="22"/>
          <w:u w:val="single"/>
        </w:rPr>
        <w:t>手术头架及牵开系统</w:t>
      </w:r>
      <w:r>
        <w:rPr>
          <w:rFonts w:hint="eastAsia" w:eastAsia="宋体" w:asciiTheme="minorHAnsi" w:hAnsiTheme="minorHAnsi" w:cstheme="minorBidi"/>
          <w:szCs w:val="22"/>
        </w:rPr>
        <w:t>谈判邀请书（</w:t>
      </w:r>
      <w:r>
        <w:rPr>
          <w:rFonts w:hint="eastAsia" w:eastAsia="宋体" w:asciiTheme="minorHAnsi" w:hAnsiTheme="minorHAnsi" w:cstheme="minorBidi"/>
          <w:szCs w:val="22"/>
          <w:u w:val="single"/>
        </w:rPr>
        <w:t>2024-JL13(04)-W30005</w:t>
      </w:r>
      <w:r>
        <w:rPr>
          <w:rFonts w:hint="eastAsia" w:eastAsia="宋体" w:asciiTheme="minorHAnsi" w:hAnsiTheme="minorHAnsi" w:cstheme="minorBidi"/>
          <w:szCs w:val="22"/>
        </w:rPr>
        <w:t>）</w:t>
      </w:r>
    </w:p>
    <w:p>
      <w:pPr>
        <w:spacing w:line="560" w:lineRule="exact"/>
        <w:ind w:firstLine="560" w:firstLineChars="200"/>
        <w:rPr>
          <w:sz w:val="28"/>
          <w:szCs w:val="28"/>
        </w:rPr>
      </w:pPr>
      <w:r>
        <w:rPr>
          <w:rFonts w:hint="eastAsia"/>
          <w:sz w:val="28"/>
          <w:szCs w:val="28"/>
        </w:rPr>
        <w:t>我单位就以下项目进行竞争性谈判，采购资金已全部落实，欢迎符合条件的供应商参加报价。</w:t>
      </w:r>
    </w:p>
    <w:p>
      <w:pPr>
        <w:numPr>
          <w:ilvl w:val="0"/>
          <w:numId w:val="0"/>
        </w:numPr>
        <w:tabs>
          <w:tab w:val="left" w:pos="987"/>
        </w:tabs>
        <w:spacing w:line="560" w:lineRule="exact"/>
        <w:ind w:left="0" w:firstLine="560" w:firstLineChars="200"/>
        <w:outlineLvl w:val="3"/>
        <w:rPr>
          <w:rFonts w:hint="eastAsia" w:eastAsia="黑体"/>
          <w:sz w:val="28"/>
          <w:szCs w:val="28"/>
          <w:u w:val="single"/>
        </w:rPr>
      </w:pPr>
      <w:r>
        <w:rPr>
          <w:rFonts w:hint="eastAsia" w:eastAsia="黑体"/>
          <w:sz w:val="28"/>
          <w:szCs w:val="28"/>
          <w:u w:val="none"/>
          <w:lang w:val="en-US" w:eastAsia="zh-CN"/>
        </w:rPr>
        <w:t>一、</w:t>
      </w:r>
      <w:r>
        <w:rPr>
          <w:rFonts w:eastAsia="黑体"/>
          <w:sz w:val="28"/>
          <w:szCs w:val="28"/>
        </w:rPr>
        <w:t>项目名称：</w:t>
      </w:r>
      <w:r>
        <w:rPr>
          <w:rFonts w:hint="eastAsia" w:eastAsia="黑体"/>
          <w:sz w:val="28"/>
          <w:szCs w:val="28"/>
          <w:u w:val="single"/>
        </w:rPr>
        <w:t>手术头架及牵开系统</w:t>
      </w:r>
    </w:p>
    <w:p>
      <w:pPr>
        <w:numPr>
          <w:ilvl w:val="0"/>
          <w:numId w:val="0"/>
        </w:numPr>
        <w:tabs>
          <w:tab w:val="left" w:pos="0"/>
          <w:tab w:val="left" w:pos="987"/>
          <w:tab w:val="left" w:pos="1122"/>
        </w:tabs>
        <w:spacing w:line="560" w:lineRule="exact"/>
        <w:ind w:left="0" w:firstLine="560" w:firstLineChars="200"/>
        <w:outlineLvl w:val="3"/>
        <w:rPr>
          <w:rFonts w:hint="eastAsia" w:eastAsia="黑体"/>
          <w:sz w:val="28"/>
          <w:szCs w:val="28"/>
          <w:u w:val="single"/>
        </w:rPr>
      </w:pPr>
      <w:r>
        <w:rPr>
          <w:rFonts w:hint="eastAsia" w:eastAsia="黑体"/>
          <w:sz w:val="28"/>
          <w:szCs w:val="28"/>
          <w:u w:val="none"/>
          <w:lang w:val="en-US" w:eastAsia="zh-CN"/>
        </w:rPr>
        <w:t>二、</w:t>
      </w:r>
      <w:r>
        <w:rPr>
          <w:rFonts w:eastAsia="黑体"/>
          <w:sz w:val="28"/>
          <w:szCs w:val="28"/>
        </w:rPr>
        <w:t>项目编号：</w:t>
      </w:r>
      <w:r>
        <w:rPr>
          <w:rFonts w:hint="eastAsia" w:eastAsia="黑体"/>
          <w:sz w:val="28"/>
          <w:szCs w:val="28"/>
          <w:u w:val="single"/>
        </w:rPr>
        <w:t>2024-JL13(04)-W30005</w:t>
      </w:r>
    </w:p>
    <w:p>
      <w:pPr>
        <w:numPr>
          <w:ilvl w:val="0"/>
          <w:numId w:val="0"/>
        </w:numPr>
        <w:tabs>
          <w:tab w:val="left" w:pos="0"/>
          <w:tab w:val="left" w:pos="987"/>
          <w:tab w:val="left" w:pos="1122"/>
        </w:tabs>
        <w:spacing w:line="560" w:lineRule="exact"/>
        <w:ind w:left="0" w:firstLine="560" w:firstLineChars="200"/>
        <w:outlineLvl w:val="3"/>
        <w:rPr>
          <w:rFonts w:eastAsia="黑体"/>
          <w:sz w:val="28"/>
          <w:szCs w:val="28"/>
        </w:rPr>
      </w:pPr>
      <w:r>
        <w:rPr>
          <w:rFonts w:hint="eastAsia" w:eastAsia="黑体"/>
          <w:sz w:val="28"/>
          <w:szCs w:val="28"/>
          <w:u w:val="none"/>
          <w:lang w:val="en-US" w:eastAsia="zh-CN"/>
        </w:rPr>
        <w:t>三、</w:t>
      </w:r>
      <w:r>
        <w:rPr>
          <w:rFonts w:eastAsia="黑体"/>
          <w:sz w:val="28"/>
          <w:szCs w:val="28"/>
        </w:rPr>
        <w:t>项目概况：</w:t>
      </w:r>
    </w:p>
    <w:tbl>
      <w:tblPr>
        <w:tblStyle w:val="44"/>
        <w:tblW w:w="107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1261"/>
        <w:gridCol w:w="1596"/>
        <w:gridCol w:w="822"/>
        <w:gridCol w:w="710"/>
        <w:gridCol w:w="1345"/>
        <w:gridCol w:w="1208"/>
        <w:gridCol w:w="971"/>
        <w:gridCol w:w="1121"/>
        <w:gridCol w:w="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4"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pStyle w:val="62"/>
              <w:jc w:val="center"/>
              <w:rPr>
                <w:b/>
                <w:bCs/>
              </w:rPr>
            </w:pPr>
            <w:r>
              <w:rPr>
                <w:rFonts w:hint="eastAsia"/>
                <w:b/>
                <w:bCs/>
              </w:rPr>
              <w:t>序号</w:t>
            </w:r>
          </w:p>
        </w:tc>
        <w:tc>
          <w:tcPr>
            <w:tcW w:w="1261" w:type="dxa"/>
            <w:tcBorders>
              <w:top w:val="single" w:color="auto" w:sz="4" w:space="0"/>
              <w:left w:val="single" w:color="auto" w:sz="4" w:space="0"/>
              <w:bottom w:val="single" w:color="auto" w:sz="4" w:space="0"/>
              <w:right w:val="single" w:color="auto" w:sz="4" w:space="0"/>
            </w:tcBorders>
            <w:vAlign w:val="center"/>
          </w:tcPr>
          <w:p>
            <w:pPr>
              <w:pStyle w:val="62"/>
              <w:jc w:val="center"/>
              <w:rPr>
                <w:b/>
                <w:bCs/>
              </w:rPr>
            </w:pPr>
            <w:r>
              <w:rPr>
                <w:rFonts w:hint="eastAsia"/>
                <w:b/>
                <w:bCs/>
              </w:rPr>
              <w:t>货物名称</w:t>
            </w:r>
          </w:p>
        </w:tc>
        <w:tc>
          <w:tcPr>
            <w:tcW w:w="1596" w:type="dxa"/>
            <w:tcBorders>
              <w:top w:val="single" w:color="auto" w:sz="4" w:space="0"/>
              <w:left w:val="single" w:color="auto" w:sz="4" w:space="0"/>
              <w:bottom w:val="single" w:color="auto" w:sz="4" w:space="0"/>
              <w:right w:val="single" w:color="auto" w:sz="4" w:space="0"/>
            </w:tcBorders>
            <w:vAlign w:val="center"/>
          </w:tcPr>
          <w:p>
            <w:pPr>
              <w:pStyle w:val="62"/>
              <w:jc w:val="center"/>
              <w:rPr>
                <w:b/>
                <w:bCs/>
              </w:rPr>
            </w:pPr>
            <w:r>
              <w:rPr>
                <w:rFonts w:hint="eastAsia"/>
                <w:b/>
                <w:bCs/>
              </w:rPr>
              <w:t>技术要求</w:t>
            </w:r>
          </w:p>
        </w:tc>
        <w:tc>
          <w:tcPr>
            <w:tcW w:w="822" w:type="dxa"/>
            <w:tcBorders>
              <w:top w:val="single" w:color="auto" w:sz="4" w:space="0"/>
              <w:left w:val="single" w:color="auto" w:sz="4" w:space="0"/>
              <w:bottom w:val="single" w:color="auto" w:sz="4" w:space="0"/>
              <w:right w:val="single" w:color="auto" w:sz="4" w:space="0"/>
            </w:tcBorders>
            <w:vAlign w:val="center"/>
          </w:tcPr>
          <w:p>
            <w:pPr>
              <w:pStyle w:val="62"/>
              <w:jc w:val="center"/>
              <w:rPr>
                <w:b/>
                <w:bCs/>
              </w:rPr>
            </w:pPr>
            <w:r>
              <w:rPr>
                <w:rFonts w:hint="eastAsia"/>
                <w:b/>
                <w:bCs/>
              </w:rPr>
              <w:t>计量单位</w:t>
            </w:r>
          </w:p>
        </w:tc>
        <w:tc>
          <w:tcPr>
            <w:tcW w:w="710" w:type="dxa"/>
            <w:tcBorders>
              <w:top w:val="single" w:color="auto" w:sz="4" w:space="0"/>
              <w:left w:val="single" w:color="auto" w:sz="4" w:space="0"/>
              <w:bottom w:val="single" w:color="auto" w:sz="4" w:space="0"/>
              <w:right w:val="single" w:color="auto" w:sz="4" w:space="0"/>
            </w:tcBorders>
            <w:vAlign w:val="center"/>
          </w:tcPr>
          <w:p>
            <w:pPr>
              <w:pStyle w:val="62"/>
              <w:jc w:val="center"/>
              <w:rPr>
                <w:b/>
                <w:bCs/>
              </w:rPr>
            </w:pPr>
            <w:r>
              <w:rPr>
                <w:rFonts w:hint="eastAsia"/>
                <w:b/>
                <w:bCs/>
              </w:rPr>
              <w:t>数量</w:t>
            </w:r>
          </w:p>
        </w:tc>
        <w:tc>
          <w:tcPr>
            <w:tcW w:w="1345" w:type="dxa"/>
            <w:tcBorders>
              <w:top w:val="single" w:color="auto" w:sz="4" w:space="0"/>
              <w:left w:val="single" w:color="auto" w:sz="4" w:space="0"/>
              <w:bottom w:val="single" w:color="auto" w:sz="4" w:space="0"/>
              <w:right w:val="single" w:color="auto" w:sz="4" w:space="0"/>
            </w:tcBorders>
            <w:vAlign w:val="center"/>
          </w:tcPr>
          <w:p>
            <w:pPr>
              <w:pStyle w:val="162"/>
              <w:rPr>
                <w:b/>
                <w:bCs/>
              </w:rPr>
            </w:pPr>
            <w:r>
              <w:rPr>
                <w:rFonts w:hint="eastAsia"/>
                <w:b/>
                <w:bCs/>
              </w:rPr>
              <w:t>单</w:t>
            </w:r>
            <w:r>
              <w:rPr>
                <w:rFonts w:hint="eastAsia"/>
                <w:b/>
                <w:bCs/>
                <w:lang w:eastAsia="zh-CN"/>
              </w:rPr>
              <w:t>套</w:t>
            </w:r>
            <w:r>
              <w:rPr>
                <w:rFonts w:hint="eastAsia"/>
                <w:b/>
                <w:bCs/>
              </w:rPr>
              <w:t>预算（万元）</w:t>
            </w:r>
          </w:p>
        </w:tc>
        <w:tc>
          <w:tcPr>
            <w:tcW w:w="1208" w:type="dxa"/>
            <w:tcBorders>
              <w:top w:val="single" w:color="auto" w:sz="4" w:space="0"/>
              <w:left w:val="single" w:color="auto" w:sz="4" w:space="0"/>
              <w:bottom w:val="single" w:color="auto" w:sz="4" w:space="0"/>
              <w:right w:val="single" w:color="auto" w:sz="4" w:space="0"/>
            </w:tcBorders>
            <w:vAlign w:val="center"/>
          </w:tcPr>
          <w:p>
            <w:pPr>
              <w:pStyle w:val="162"/>
              <w:rPr>
                <w:b/>
                <w:bCs/>
              </w:rPr>
            </w:pPr>
            <w:r>
              <w:rPr>
                <w:rFonts w:hint="eastAsia"/>
                <w:color w:val="0000FF"/>
              </w:rPr>
              <w:t>最高预算（万元）</w:t>
            </w:r>
          </w:p>
        </w:tc>
        <w:tc>
          <w:tcPr>
            <w:tcW w:w="971" w:type="dxa"/>
            <w:tcBorders>
              <w:top w:val="single" w:color="auto" w:sz="4" w:space="0"/>
              <w:left w:val="single" w:color="auto" w:sz="4" w:space="0"/>
              <w:bottom w:val="single" w:color="auto" w:sz="4" w:space="0"/>
              <w:right w:val="single" w:color="auto" w:sz="4" w:space="0"/>
            </w:tcBorders>
            <w:vAlign w:val="center"/>
          </w:tcPr>
          <w:p>
            <w:pPr>
              <w:pStyle w:val="62"/>
              <w:jc w:val="center"/>
              <w:rPr>
                <w:b/>
                <w:bCs/>
                <w:highlight w:val="yellow"/>
              </w:rPr>
            </w:pPr>
            <w:r>
              <w:rPr>
                <w:rFonts w:hint="eastAsia"/>
                <w:b/>
                <w:bCs/>
              </w:rPr>
              <w:t>交货时间</w:t>
            </w:r>
          </w:p>
        </w:tc>
        <w:tc>
          <w:tcPr>
            <w:tcW w:w="1121" w:type="dxa"/>
            <w:tcBorders>
              <w:top w:val="single" w:color="auto" w:sz="4" w:space="0"/>
              <w:left w:val="single" w:color="auto" w:sz="4" w:space="0"/>
              <w:bottom w:val="single" w:color="auto" w:sz="4" w:space="0"/>
              <w:right w:val="single" w:color="auto" w:sz="4" w:space="0"/>
            </w:tcBorders>
            <w:vAlign w:val="center"/>
          </w:tcPr>
          <w:p>
            <w:pPr>
              <w:pStyle w:val="62"/>
              <w:jc w:val="center"/>
              <w:rPr>
                <w:b/>
                <w:bCs/>
              </w:rPr>
            </w:pPr>
            <w:r>
              <w:rPr>
                <w:rFonts w:hint="eastAsia"/>
                <w:b/>
                <w:bCs/>
              </w:rPr>
              <w:t>交货地点</w:t>
            </w:r>
          </w:p>
        </w:tc>
        <w:tc>
          <w:tcPr>
            <w:tcW w:w="821" w:type="dxa"/>
            <w:tcBorders>
              <w:top w:val="single" w:color="auto" w:sz="4" w:space="0"/>
              <w:left w:val="single" w:color="auto" w:sz="4" w:space="0"/>
              <w:bottom w:val="single" w:color="auto" w:sz="4" w:space="0"/>
              <w:right w:val="single" w:color="auto" w:sz="4" w:space="0"/>
            </w:tcBorders>
            <w:vAlign w:val="center"/>
          </w:tcPr>
          <w:p>
            <w:pPr>
              <w:pStyle w:val="62"/>
              <w:jc w:val="center"/>
              <w:rPr>
                <w:b/>
                <w:bCs/>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7"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pStyle w:val="62"/>
              <w:jc w:val="center"/>
              <w:rPr>
                <w:color w:val="FF0000"/>
              </w:rPr>
            </w:pPr>
            <w:r>
              <w:rPr>
                <w:rFonts w:hint="eastAsia"/>
                <w:color w:val="FF0000"/>
              </w:rPr>
              <w:t>1</w:t>
            </w:r>
          </w:p>
        </w:tc>
        <w:tc>
          <w:tcPr>
            <w:tcW w:w="1261" w:type="dxa"/>
            <w:tcBorders>
              <w:top w:val="single" w:color="auto" w:sz="4" w:space="0"/>
              <w:left w:val="single" w:color="auto" w:sz="4" w:space="0"/>
              <w:bottom w:val="single" w:color="auto" w:sz="4" w:space="0"/>
              <w:right w:val="single" w:color="auto" w:sz="4" w:space="0"/>
            </w:tcBorders>
            <w:vAlign w:val="center"/>
          </w:tcPr>
          <w:p>
            <w:pPr>
              <w:pStyle w:val="62"/>
              <w:jc w:val="center"/>
              <w:rPr>
                <w:rFonts w:hint="eastAsia" w:eastAsia="宋体"/>
                <w:color w:val="FF0000"/>
                <w:lang w:eastAsia="zh-CN"/>
              </w:rPr>
            </w:pPr>
            <w:r>
              <w:rPr>
                <w:rFonts w:hint="eastAsia" w:eastAsia="宋体"/>
                <w:color w:val="FF0000"/>
                <w:lang w:eastAsia="zh-CN"/>
              </w:rPr>
              <w:t>手术头架及牵开系统</w:t>
            </w:r>
          </w:p>
        </w:tc>
        <w:tc>
          <w:tcPr>
            <w:tcW w:w="1596" w:type="dxa"/>
            <w:tcBorders>
              <w:top w:val="single" w:color="auto" w:sz="4" w:space="0"/>
              <w:left w:val="single" w:color="auto" w:sz="4" w:space="0"/>
              <w:bottom w:val="single" w:color="auto" w:sz="4" w:space="0"/>
              <w:right w:val="single" w:color="auto" w:sz="4" w:space="0"/>
            </w:tcBorders>
            <w:vAlign w:val="center"/>
          </w:tcPr>
          <w:p>
            <w:pPr>
              <w:pStyle w:val="62"/>
              <w:jc w:val="center"/>
              <w:rPr>
                <w:rFonts w:hint="eastAsia" w:eastAsia="宋体"/>
                <w:color w:val="FF0000"/>
                <w:lang w:eastAsia="zh-CN"/>
              </w:rPr>
            </w:pPr>
            <w:r>
              <w:rPr>
                <w:rFonts w:hint="eastAsia"/>
                <w:color w:val="FF0000"/>
                <w:highlight w:val="yellow"/>
                <w:lang w:eastAsia="zh-CN"/>
              </w:rPr>
              <w:t>详见第五章</w:t>
            </w:r>
          </w:p>
        </w:tc>
        <w:tc>
          <w:tcPr>
            <w:tcW w:w="822" w:type="dxa"/>
            <w:tcBorders>
              <w:top w:val="single" w:color="auto" w:sz="4" w:space="0"/>
              <w:left w:val="single" w:color="auto" w:sz="4" w:space="0"/>
              <w:bottom w:val="single" w:color="auto" w:sz="4" w:space="0"/>
              <w:right w:val="single" w:color="auto" w:sz="4" w:space="0"/>
            </w:tcBorders>
            <w:vAlign w:val="center"/>
          </w:tcPr>
          <w:p>
            <w:pPr>
              <w:spacing w:line="240" w:lineRule="auto"/>
              <w:ind w:firstLine="210" w:firstLineChars="100"/>
              <w:jc w:val="left"/>
              <w:rPr>
                <w:rFonts w:hint="eastAsia" w:eastAsia="宋体"/>
                <w:color w:val="FF0000"/>
                <w:lang w:eastAsia="zh-CN"/>
              </w:rPr>
            </w:pPr>
            <w:r>
              <w:rPr>
                <w:rFonts w:hint="eastAsia"/>
                <w:color w:val="FF0000"/>
                <w:lang w:eastAsia="zh-CN"/>
              </w:rPr>
              <w:t>套</w:t>
            </w:r>
          </w:p>
        </w:tc>
        <w:tc>
          <w:tcPr>
            <w:tcW w:w="71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eastAsia="宋体"/>
                <w:color w:val="FF0000"/>
                <w:lang w:val="en-US" w:eastAsia="zh-CN"/>
              </w:rPr>
            </w:pPr>
            <w:r>
              <w:rPr>
                <w:rFonts w:hint="eastAsia"/>
                <w:color w:val="FF0000"/>
                <w:lang w:val="en-US" w:eastAsia="zh-CN"/>
              </w:rPr>
              <w:t>2</w:t>
            </w:r>
          </w:p>
        </w:tc>
        <w:tc>
          <w:tcPr>
            <w:tcW w:w="1345" w:type="dxa"/>
            <w:tcBorders>
              <w:top w:val="single" w:color="auto" w:sz="4" w:space="0"/>
              <w:left w:val="single" w:color="auto" w:sz="4" w:space="0"/>
              <w:bottom w:val="single" w:color="auto" w:sz="4" w:space="0"/>
              <w:right w:val="single" w:color="auto" w:sz="4" w:space="0"/>
            </w:tcBorders>
            <w:vAlign w:val="center"/>
          </w:tcPr>
          <w:p>
            <w:pPr>
              <w:pStyle w:val="62"/>
              <w:jc w:val="center"/>
              <w:rPr>
                <w:rFonts w:hint="default" w:eastAsia="宋体"/>
                <w:color w:val="FF0000"/>
                <w:lang w:val="en-US" w:eastAsia="zh-CN"/>
              </w:rPr>
            </w:pPr>
            <w:r>
              <w:rPr>
                <w:rFonts w:hint="eastAsia"/>
                <w:color w:val="FF0000"/>
                <w:lang w:val="en-US" w:eastAsia="zh-CN"/>
              </w:rPr>
              <w:t>48</w:t>
            </w:r>
          </w:p>
        </w:tc>
        <w:tc>
          <w:tcPr>
            <w:tcW w:w="1208" w:type="dxa"/>
            <w:tcBorders>
              <w:top w:val="single" w:color="auto" w:sz="4" w:space="0"/>
              <w:left w:val="single" w:color="auto" w:sz="4" w:space="0"/>
              <w:bottom w:val="single" w:color="auto" w:sz="4" w:space="0"/>
              <w:right w:val="single" w:color="auto" w:sz="4" w:space="0"/>
            </w:tcBorders>
            <w:vAlign w:val="center"/>
          </w:tcPr>
          <w:p>
            <w:pPr>
              <w:pStyle w:val="62"/>
              <w:jc w:val="center"/>
              <w:rPr>
                <w:rFonts w:hint="default" w:eastAsia="宋体"/>
                <w:color w:val="FF0000"/>
                <w:lang w:val="en-US" w:eastAsia="zh-CN"/>
              </w:rPr>
            </w:pPr>
            <w:r>
              <w:rPr>
                <w:rFonts w:hint="eastAsia"/>
                <w:color w:val="FF0000"/>
                <w:lang w:val="en-US" w:eastAsia="zh-CN"/>
              </w:rPr>
              <w:t>96</w:t>
            </w:r>
          </w:p>
        </w:tc>
        <w:tc>
          <w:tcPr>
            <w:tcW w:w="971" w:type="dxa"/>
            <w:tcBorders>
              <w:top w:val="single" w:color="auto" w:sz="4" w:space="0"/>
              <w:left w:val="single" w:color="auto" w:sz="4" w:space="0"/>
              <w:bottom w:val="single" w:color="auto" w:sz="4" w:space="0"/>
              <w:right w:val="single" w:color="auto" w:sz="4" w:space="0"/>
            </w:tcBorders>
            <w:vAlign w:val="center"/>
          </w:tcPr>
          <w:p>
            <w:pPr>
              <w:pStyle w:val="62"/>
              <w:jc w:val="center"/>
              <w:rPr>
                <w:rFonts w:hint="default" w:eastAsia="宋体"/>
                <w:color w:val="FF0000"/>
                <w:highlight w:val="yellow"/>
                <w:lang w:val="en-US" w:eastAsia="zh-CN"/>
              </w:rPr>
            </w:pPr>
            <w:r>
              <w:rPr>
                <w:rFonts w:hint="eastAsia"/>
                <w:color w:val="FF0000"/>
                <w:highlight w:val="yellow"/>
                <w:lang w:eastAsia="zh-CN"/>
              </w:rPr>
              <w:t>合同签订后</w:t>
            </w:r>
            <w:r>
              <w:rPr>
                <w:rFonts w:hint="eastAsia"/>
                <w:color w:val="FF0000"/>
                <w:highlight w:val="yellow"/>
                <w:lang w:val="en-US" w:eastAsia="zh-CN"/>
              </w:rPr>
              <w:t>3个月内</w:t>
            </w:r>
          </w:p>
        </w:tc>
        <w:tc>
          <w:tcPr>
            <w:tcW w:w="1121" w:type="dxa"/>
            <w:tcBorders>
              <w:top w:val="single" w:color="auto" w:sz="4" w:space="0"/>
              <w:left w:val="single" w:color="auto" w:sz="4" w:space="0"/>
              <w:bottom w:val="single" w:color="auto" w:sz="4" w:space="0"/>
              <w:right w:val="single" w:color="auto" w:sz="4" w:space="0"/>
            </w:tcBorders>
            <w:vAlign w:val="center"/>
          </w:tcPr>
          <w:p>
            <w:pPr>
              <w:pStyle w:val="62"/>
              <w:jc w:val="center"/>
              <w:rPr>
                <w:rFonts w:hint="eastAsia" w:eastAsia="宋体"/>
                <w:color w:val="FF0000"/>
                <w:lang w:eastAsia="zh-CN"/>
              </w:rPr>
            </w:pPr>
            <w:r>
              <w:rPr>
                <w:rFonts w:hint="eastAsia"/>
                <w:color w:val="FF0000"/>
                <w:lang w:eastAsia="zh-CN"/>
              </w:rPr>
              <w:t>重庆市</w:t>
            </w:r>
          </w:p>
        </w:tc>
        <w:tc>
          <w:tcPr>
            <w:tcW w:w="821" w:type="dxa"/>
            <w:tcBorders>
              <w:top w:val="single" w:color="auto" w:sz="4" w:space="0"/>
              <w:left w:val="single" w:color="auto" w:sz="4" w:space="0"/>
              <w:bottom w:val="single" w:color="auto" w:sz="4" w:space="0"/>
              <w:right w:val="single" w:color="auto" w:sz="4" w:space="0"/>
            </w:tcBorders>
            <w:vAlign w:val="center"/>
          </w:tcPr>
          <w:p>
            <w:pPr>
              <w:pStyle w:val="62"/>
              <w:jc w:val="center"/>
              <w:rPr>
                <w:rFonts w:hint="eastAsia" w:eastAsia="宋体"/>
                <w:color w:val="FF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0"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pStyle w:val="62"/>
              <w:jc w:val="center"/>
              <w:rPr>
                <w:color w:val="FF0000"/>
              </w:rPr>
            </w:pPr>
            <w:r>
              <w:rPr>
                <w:rFonts w:hint="eastAsia"/>
              </w:rPr>
              <w:t>说明</w:t>
            </w:r>
          </w:p>
        </w:tc>
        <w:tc>
          <w:tcPr>
            <w:tcW w:w="9855" w:type="dxa"/>
            <w:gridSpan w:val="9"/>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sz w:val="28"/>
                <w:szCs w:val="36"/>
              </w:rPr>
            </w:pPr>
            <w:r>
              <w:rPr>
                <w:rFonts w:hint="eastAsia"/>
                <w:sz w:val="28"/>
                <w:szCs w:val="36"/>
              </w:rPr>
              <w:t>1.报价方须对所投包内所有产品和数量进行报价，否则视为无效报价。</w:t>
            </w:r>
          </w:p>
          <w:p>
            <w:pPr>
              <w:ind w:firstLine="0" w:firstLineChars="0"/>
              <w:rPr>
                <w:rFonts w:hint="eastAsia"/>
                <w:sz w:val="28"/>
                <w:szCs w:val="36"/>
              </w:rPr>
            </w:pPr>
            <w:r>
              <w:rPr>
                <w:rFonts w:hint="eastAsia"/>
                <w:sz w:val="28"/>
                <w:szCs w:val="36"/>
              </w:rPr>
              <w:t>2.报价为货物送达采购人指定地点，安装调试验收合格后的价格。</w:t>
            </w:r>
          </w:p>
          <w:p>
            <w:pPr>
              <w:ind w:firstLine="0" w:firstLineChars="0"/>
              <w:rPr>
                <w:rFonts w:hint="eastAsia"/>
                <w:sz w:val="28"/>
                <w:szCs w:val="36"/>
              </w:rPr>
            </w:pPr>
            <w:r>
              <w:rPr>
                <w:rFonts w:hint="eastAsia"/>
                <w:sz w:val="28"/>
                <w:szCs w:val="36"/>
              </w:rPr>
              <w:t xml:space="preserve">3.本项目确定  </w:t>
            </w:r>
            <w:r>
              <w:rPr>
                <w:rFonts w:hint="eastAsia"/>
                <w:sz w:val="28"/>
                <w:szCs w:val="36"/>
                <w:lang w:val="en-US" w:eastAsia="zh-CN"/>
              </w:rPr>
              <w:t>1</w:t>
            </w:r>
            <w:r>
              <w:rPr>
                <w:rFonts w:hint="eastAsia"/>
                <w:sz w:val="28"/>
                <w:szCs w:val="36"/>
              </w:rPr>
              <w:t xml:space="preserve">  家成交供应商。</w:t>
            </w:r>
          </w:p>
          <w:p>
            <w:pPr>
              <w:ind w:firstLine="0" w:firstLineChars="0"/>
              <w:rPr>
                <w:rFonts w:hint="eastAsia"/>
                <w:sz w:val="28"/>
                <w:szCs w:val="36"/>
              </w:rPr>
            </w:pPr>
            <w:r>
              <w:rPr>
                <w:rFonts w:hint="eastAsia"/>
                <w:sz w:val="28"/>
                <w:szCs w:val="36"/>
              </w:rPr>
              <w:t>4.报价方在成功获取谈判文件后，无需进行现场勘查。</w:t>
            </w:r>
          </w:p>
          <w:p>
            <w:pPr>
              <w:ind w:firstLine="0" w:firstLineChars="0"/>
              <w:rPr>
                <w:rFonts w:hint="eastAsia"/>
                <w:sz w:val="28"/>
                <w:szCs w:val="36"/>
              </w:rPr>
            </w:pPr>
            <w:r>
              <w:rPr>
                <w:rFonts w:hint="eastAsia"/>
                <w:sz w:val="28"/>
                <w:szCs w:val="36"/>
                <w:lang w:val="en-US" w:eastAsia="zh-CN"/>
              </w:rPr>
              <w:t>5.本项目成交价格需经价格复核，最终成交价格以复核结果为准。</w:t>
            </w:r>
          </w:p>
        </w:tc>
      </w:tr>
    </w:tbl>
    <w:p>
      <w:pPr>
        <w:numPr>
          <w:ilvl w:val="0"/>
          <w:numId w:val="0"/>
        </w:numPr>
        <w:tabs>
          <w:tab w:val="left" w:pos="0"/>
          <w:tab w:val="left" w:pos="1122"/>
        </w:tabs>
        <w:spacing w:line="560" w:lineRule="exact"/>
        <w:ind w:left="0" w:leftChars="0" w:firstLine="560" w:firstLineChars="200"/>
        <w:outlineLvl w:val="3"/>
        <w:rPr>
          <w:rFonts w:eastAsia="黑体"/>
          <w:sz w:val="28"/>
          <w:szCs w:val="28"/>
        </w:rPr>
      </w:pPr>
      <w:r>
        <w:rPr>
          <w:rFonts w:hint="eastAsia" w:eastAsia="黑体"/>
          <w:sz w:val="28"/>
          <w:szCs w:val="28"/>
          <w:lang w:eastAsia="zh-CN"/>
        </w:rPr>
        <w:t>四、报价</w:t>
      </w:r>
      <w:r>
        <w:rPr>
          <w:rFonts w:eastAsia="黑体"/>
          <w:sz w:val="28"/>
          <w:szCs w:val="28"/>
        </w:rPr>
        <w:t>供应商资格条件</w:t>
      </w:r>
    </w:p>
    <w:p>
      <w:pPr>
        <w:numPr>
          <w:ilvl w:val="0"/>
          <w:numId w:val="1"/>
        </w:numPr>
        <w:spacing w:line="560" w:lineRule="exact"/>
        <w:rPr>
          <w:rFonts w:hint="eastAsia" w:ascii="宋体" w:hAnsi="宋体"/>
          <w:sz w:val="28"/>
          <w:szCs w:val="28"/>
        </w:rPr>
      </w:pPr>
      <w:r>
        <w:rPr>
          <w:rFonts w:ascii="宋体" w:hAnsi="宋体"/>
          <w:sz w:val="28"/>
          <w:szCs w:val="28"/>
        </w:rPr>
        <w:t>符合《中华人民共和国政府采购法》第二十二条资格条件</w:t>
      </w:r>
      <w:r>
        <w:rPr>
          <w:rFonts w:hint="eastAsia" w:ascii="宋体" w:hAnsi="宋体"/>
          <w:sz w:val="28"/>
          <w:szCs w:val="28"/>
        </w:rPr>
        <w:t>：</w:t>
      </w:r>
    </w:p>
    <w:p>
      <w:pPr>
        <w:spacing w:line="560" w:lineRule="exact"/>
        <w:ind w:left="560"/>
        <w:rPr>
          <w:rFonts w:ascii="宋体" w:hAnsi="宋体"/>
          <w:sz w:val="28"/>
          <w:szCs w:val="28"/>
        </w:rPr>
      </w:pPr>
      <w:r>
        <w:rPr>
          <w:rFonts w:ascii="宋体" w:hAnsi="宋体"/>
          <w:sz w:val="28"/>
          <w:szCs w:val="28"/>
        </w:rPr>
        <w:t>1.具有独立承担民事责任的能力；</w:t>
      </w:r>
    </w:p>
    <w:p>
      <w:pPr>
        <w:spacing w:line="560" w:lineRule="exact"/>
        <w:ind w:left="560"/>
        <w:rPr>
          <w:rFonts w:ascii="宋体" w:hAnsi="宋体"/>
          <w:sz w:val="28"/>
          <w:szCs w:val="28"/>
        </w:rPr>
      </w:pPr>
      <w:r>
        <w:rPr>
          <w:rFonts w:ascii="宋体" w:hAnsi="宋体"/>
          <w:sz w:val="28"/>
          <w:szCs w:val="28"/>
        </w:rPr>
        <w:t>2.具有良好的商业信誉和健全的财务会计制度；</w:t>
      </w:r>
    </w:p>
    <w:p>
      <w:pPr>
        <w:spacing w:line="560" w:lineRule="exact"/>
        <w:ind w:left="560"/>
        <w:rPr>
          <w:rFonts w:ascii="宋体" w:hAnsi="宋体"/>
          <w:sz w:val="28"/>
          <w:szCs w:val="28"/>
        </w:rPr>
      </w:pPr>
      <w:r>
        <w:rPr>
          <w:rFonts w:ascii="宋体" w:hAnsi="宋体"/>
          <w:sz w:val="28"/>
          <w:szCs w:val="28"/>
        </w:rPr>
        <w:t>3.具有履行合同所必需的设备和专业技术能力；</w:t>
      </w:r>
    </w:p>
    <w:p>
      <w:pPr>
        <w:spacing w:line="560" w:lineRule="exact"/>
        <w:ind w:left="560"/>
        <w:rPr>
          <w:rFonts w:ascii="宋体" w:hAnsi="宋体"/>
          <w:sz w:val="28"/>
          <w:szCs w:val="28"/>
        </w:rPr>
      </w:pPr>
      <w:r>
        <w:rPr>
          <w:rFonts w:ascii="宋体" w:hAnsi="宋体"/>
          <w:sz w:val="28"/>
          <w:szCs w:val="28"/>
        </w:rPr>
        <w:t>4.有依法缴纳税收和社会保障资金的良好记录；</w:t>
      </w:r>
    </w:p>
    <w:p>
      <w:pPr>
        <w:spacing w:line="560" w:lineRule="exact"/>
        <w:ind w:firstLine="560" w:firstLineChars="200"/>
        <w:rPr>
          <w:rFonts w:ascii="宋体" w:hAnsi="宋体"/>
          <w:sz w:val="28"/>
          <w:szCs w:val="28"/>
        </w:rPr>
      </w:pPr>
      <w:r>
        <w:rPr>
          <w:rFonts w:ascii="宋体" w:hAnsi="宋体"/>
          <w:sz w:val="28"/>
          <w:szCs w:val="28"/>
        </w:rPr>
        <w:t>5.参加政府采购活动前3年内，在经营活动中没有重大违法记录；</w:t>
      </w:r>
    </w:p>
    <w:p>
      <w:pPr>
        <w:spacing w:line="560" w:lineRule="exact"/>
        <w:ind w:firstLine="560" w:firstLineChars="200"/>
        <w:rPr>
          <w:rFonts w:hint="eastAsia" w:ascii="宋体" w:hAnsi="宋体"/>
          <w:sz w:val="28"/>
          <w:szCs w:val="28"/>
        </w:rPr>
      </w:pPr>
      <w:r>
        <w:rPr>
          <w:rFonts w:ascii="宋体" w:hAnsi="宋体"/>
          <w:sz w:val="28"/>
          <w:szCs w:val="28"/>
        </w:rPr>
        <w:t>6.法律、行政法规规定的其他条件。</w:t>
      </w:r>
    </w:p>
    <w:p>
      <w:pPr>
        <w:snapToGrid w:val="0"/>
        <w:spacing w:line="560" w:lineRule="exact"/>
        <w:ind w:firstLine="560" w:firstLineChars="200"/>
        <w:rPr>
          <w:rFonts w:ascii="宋体" w:hAnsi="宋体"/>
          <w:sz w:val="28"/>
          <w:szCs w:val="28"/>
        </w:rPr>
      </w:pPr>
      <w:r>
        <w:rPr>
          <w:rFonts w:ascii="宋体" w:hAnsi="宋体"/>
          <w:sz w:val="28"/>
          <w:szCs w:val="28"/>
        </w:rPr>
        <w:t>（二）</w:t>
      </w:r>
      <w:r>
        <w:rPr>
          <w:rFonts w:hint="eastAsia" w:ascii="宋体" w:hAnsi="宋体"/>
          <w:sz w:val="28"/>
          <w:szCs w:val="28"/>
        </w:rPr>
        <w:t>国有企业；事业单</w:t>
      </w:r>
      <w:r>
        <w:rPr>
          <w:rFonts w:hint="eastAsia" w:ascii="宋体" w:hAnsi="宋体" w:cs="Times New Roman"/>
          <w:sz w:val="28"/>
          <w:szCs w:val="28"/>
        </w:rPr>
        <w:t>位；军队单位；成立</w:t>
      </w:r>
      <w:r>
        <w:rPr>
          <w:rFonts w:hint="eastAsia" w:ascii="宋体" w:hAnsi="宋体" w:cs="Times New Roman"/>
          <w:sz w:val="28"/>
          <w:szCs w:val="28"/>
          <w:lang w:eastAsia="zh-CN"/>
        </w:rPr>
        <w:t>一</w:t>
      </w:r>
      <w:r>
        <w:rPr>
          <w:rFonts w:hint="eastAsia" w:ascii="宋体" w:hAnsi="宋体" w:cs="Times New Roman"/>
          <w:sz w:val="28"/>
          <w:szCs w:val="28"/>
        </w:rPr>
        <w:t>年（发售</w:t>
      </w:r>
      <w:r>
        <w:rPr>
          <w:rFonts w:hint="eastAsia" w:ascii="宋体" w:hAnsi="宋体" w:cs="Times New Roman"/>
          <w:sz w:val="28"/>
          <w:szCs w:val="28"/>
          <w:lang w:eastAsia="zh-CN"/>
        </w:rPr>
        <w:t>谈判</w:t>
      </w:r>
      <w:r>
        <w:rPr>
          <w:rFonts w:hint="eastAsia" w:ascii="宋体" w:hAnsi="宋体" w:cs="Times New Roman"/>
          <w:sz w:val="28"/>
          <w:szCs w:val="28"/>
        </w:rPr>
        <w:t>文件截止时间）以上的非外资</w:t>
      </w:r>
      <w:r>
        <w:rPr>
          <w:rFonts w:hint="eastAsia" w:ascii="宋体" w:hAnsi="宋体" w:cs="Times New Roman"/>
          <w:sz w:val="28"/>
          <w:szCs w:val="28"/>
          <w:lang w:val="en-US" w:eastAsia="zh-CN"/>
        </w:rPr>
        <w:t>（含港澳台）独资企业或外资控股企业</w:t>
      </w:r>
      <w:r>
        <w:rPr>
          <w:rFonts w:hint="eastAsia" w:ascii="宋体" w:hAnsi="宋体"/>
          <w:sz w:val="28"/>
          <w:szCs w:val="28"/>
        </w:rPr>
        <w:t>。</w:t>
      </w:r>
    </w:p>
    <w:p>
      <w:pPr>
        <w:tabs>
          <w:tab w:val="left" w:pos="0"/>
        </w:tabs>
        <w:spacing w:line="560" w:lineRule="exact"/>
        <w:ind w:firstLine="560" w:firstLineChars="200"/>
        <w:rPr>
          <w:rFonts w:hint="eastAsia" w:ascii="宋体" w:hAnsi="宋体"/>
          <w:sz w:val="28"/>
          <w:szCs w:val="28"/>
        </w:rPr>
      </w:pPr>
      <w:r>
        <w:rPr>
          <w:rFonts w:ascii="宋体" w:hAnsi="宋体"/>
          <w:sz w:val="28"/>
          <w:szCs w:val="28"/>
        </w:rPr>
        <w:t>（</w:t>
      </w:r>
      <w:r>
        <w:rPr>
          <w:rFonts w:hint="eastAsia" w:ascii="宋体" w:hAnsi="宋体"/>
          <w:sz w:val="28"/>
          <w:szCs w:val="28"/>
        </w:rPr>
        <w:t>三</w:t>
      </w:r>
      <w:r>
        <w:rPr>
          <w:rFonts w:ascii="宋体" w:hAnsi="宋体"/>
          <w:sz w:val="28"/>
          <w:szCs w:val="28"/>
        </w:rPr>
        <w:t>）</w:t>
      </w:r>
      <w:r>
        <w:rPr>
          <w:rFonts w:hint="eastAsia" w:ascii="宋体" w:hAnsi="宋体"/>
          <w:sz w:val="28"/>
          <w:szCs w:val="28"/>
        </w:rPr>
        <w:t>单位负责人为同一人或者存在直接控股、管理关系的不同供应商，不得同时参加同一包的采购活动。生产型企业的生产场经营地址或者注册登记地址为同一地址的，非国有销售型企业的股东和管理人员（法定代表人、董事、监事）之间存在近亲属、相互占股等关联的，也不得同时参加同一包的采购活动。近亲属指夫妻、直系血亲、三代以内旁系血亲或近姻亲关系。采购机构同时参考“天眼查”、“企查查”第三方平台查询报价人之间有无关联性。</w:t>
      </w:r>
    </w:p>
    <w:p>
      <w:pPr>
        <w:tabs>
          <w:tab w:val="left" w:pos="0"/>
        </w:tabs>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四</w:t>
      </w:r>
      <w:r>
        <w:rPr>
          <w:rFonts w:ascii="宋体" w:hAnsi="宋体"/>
          <w:sz w:val="28"/>
          <w:szCs w:val="28"/>
        </w:rPr>
        <w:t>）</w:t>
      </w:r>
      <w:r>
        <w:rPr>
          <w:rFonts w:hint="eastAsia" w:ascii="宋体" w:hAnsi="宋体"/>
          <w:sz w:val="28"/>
          <w:szCs w:val="28"/>
        </w:rPr>
        <w:t>未被列入政府采购失信名单、军队供应商暂停名单，未在军队采购失信名单禁入处罚期内、未被列入我院违规调查处理名单中。未被“信用中国”网站列入失信被执行人、重大税收违法案件当事人。近三年内未在“国家企业信用信息公示系统”上有与医疗设备相关的不良记录。</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五</w:t>
      </w:r>
      <w:r>
        <w:rPr>
          <w:rFonts w:ascii="宋体" w:hAnsi="宋体"/>
          <w:sz w:val="28"/>
          <w:szCs w:val="28"/>
        </w:rPr>
        <w:t>）本项目不接受联合体</w:t>
      </w:r>
      <w:r>
        <w:rPr>
          <w:rFonts w:hint="eastAsia" w:ascii="宋体" w:hAnsi="宋体"/>
          <w:sz w:val="28"/>
          <w:szCs w:val="28"/>
          <w:lang w:eastAsia="zh-CN"/>
        </w:rPr>
        <w:t>报价</w:t>
      </w:r>
      <w:r>
        <w:rPr>
          <w:rFonts w:ascii="宋体" w:hAnsi="宋体"/>
          <w:sz w:val="28"/>
          <w:szCs w:val="28"/>
        </w:rPr>
        <w:t>。</w:t>
      </w:r>
    </w:p>
    <w:p>
      <w:pPr>
        <w:tabs>
          <w:tab w:val="left" w:pos="0"/>
        </w:tabs>
        <w:spacing w:line="560" w:lineRule="exact"/>
        <w:ind w:firstLine="560" w:firstLineChars="200"/>
        <w:rPr>
          <w:rFonts w:hint="eastAsia" w:ascii="宋体" w:hAnsi="宋体"/>
          <w:sz w:val="28"/>
          <w:szCs w:val="28"/>
        </w:rPr>
      </w:pPr>
      <w:r>
        <w:rPr>
          <w:rFonts w:hint="eastAsia" w:ascii="宋体" w:hAnsi="宋体"/>
          <w:sz w:val="28"/>
          <w:szCs w:val="28"/>
        </w:rPr>
        <w:t>（六）本项目特定资质：</w:t>
      </w:r>
    </w:p>
    <w:p>
      <w:pPr>
        <w:tabs>
          <w:tab w:val="left" w:pos="0"/>
        </w:tabs>
        <w:spacing w:line="560" w:lineRule="exact"/>
        <w:ind w:firstLine="560" w:firstLineChars="200"/>
        <w:rPr>
          <w:rFonts w:hint="eastAsia" w:ascii="宋体" w:hAnsi="宋体"/>
          <w:sz w:val="28"/>
          <w:szCs w:val="28"/>
        </w:rPr>
      </w:pPr>
      <w:r>
        <w:rPr>
          <w:rFonts w:hint="eastAsia" w:ascii="宋体" w:hAnsi="宋体"/>
          <w:sz w:val="28"/>
          <w:szCs w:val="28"/>
        </w:rPr>
        <w:t>1.报价产品必须是报价人主营或主营范围，以报价人提供的营业执照（事业单位法人证书）或生产许可证或经营许可证或备案凭证等证明材料为准。</w:t>
      </w:r>
    </w:p>
    <w:p>
      <w:pPr>
        <w:tabs>
          <w:tab w:val="left" w:pos="0"/>
        </w:tabs>
        <w:spacing w:line="560" w:lineRule="exact"/>
        <w:ind w:firstLine="560" w:firstLineChars="200"/>
        <w:rPr>
          <w:rFonts w:hint="eastAsia" w:ascii="宋体" w:hAnsi="宋体"/>
          <w:sz w:val="28"/>
          <w:szCs w:val="28"/>
        </w:rPr>
      </w:pPr>
      <w:r>
        <w:rPr>
          <w:rFonts w:hint="eastAsia" w:ascii="宋体" w:hAnsi="宋体"/>
          <w:sz w:val="28"/>
          <w:szCs w:val="28"/>
        </w:rPr>
        <w:t>2.1报价人如为生产厂家，则须提供营业执照，医疗器械生产许可证或医疗器械生产备案凭证，以及医疗器械经营许可证或医疗器械经营备案凭证；</w:t>
      </w:r>
    </w:p>
    <w:p>
      <w:pPr>
        <w:tabs>
          <w:tab w:val="left" w:pos="0"/>
        </w:tabs>
        <w:spacing w:line="560" w:lineRule="exact"/>
        <w:ind w:firstLine="560" w:firstLineChars="200"/>
        <w:rPr>
          <w:rFonts w:hint="eastAsia" w:ascii="宋体" w:hAnsi="宋体"/>
          <w:sz w:val="28"/>
          <w:szCs w:val="28"/>
        </w:rPr>
      </w:pPr>
      <w:r>
        <w:rPr>
          <w:rFonts w:hint="eastAsia" w:ascii="宋体" w:hAnsi="宋体"/>
          <w:sz w:val="28"/>
          <w:szCs w:val="28"/>
        </w:rPr>
        <w:t>2.2报价人如为产品代理商，须提供所投产品生产厂家的营业执照、医疗器械生产许可证或医疗器械生产备案凭证（进口产品除外），各级代理商及报价人还须提供营业执照、医疗器械经营许可证（备案凭证）。</w:t>
      </w:r>
    </w:p>
    <w:p>
      <w:pPr>
        <w:tabs>
          <w:tab w:val="left" w:pos="0"/>
        </w:tabs>
        <w:spacing w:line="560" w:lineRule="exact"/>
        <w:ind w:firstLine="560" w:firstLineChars="200"/>
        <w:rPr>
          <w:rFonts w:hint="eastAsia" w:ascii="宋体" w:hAnsi="宋体"/>
          <w:sz w:val="28"/>
          <w:szCs w:val="28"/>
        </w:rPr>
      </w:pPr>
      <w:r>
        <w:rPr>
          <w:rFonts w:hint="eastAsia" w:ascii="宋体" w:hAnsi="宋体"/>
          <w:sz w:val="28"/>
          <w:szCs w:val="28"/>
        </w:rPr>
        <w:t>2.3如为进口产品，需提供全国总代理授予的代理授权书（若为外文授权书则需提供中文翻译件）；并同时需提供所投产品制造商给全国总代理的授权或关系说明（包括各级授权人出具的授权书，资质证明材料需追溯至国内总代）。</w:t>
      </w:r>
    </w:p>
    <w:p>
      <w:pPr>
        <w:tabs>
          <w:tab w:val="left" w:pos="0"/>
        </w:tabs>
        <w:spacing w:line="560" w:lineRule="exact"/>
        <w:ind w:firstLine="560" w:firstLineChars="200"/>
        <w:rPr>
          <w:rFonts w:hint="eastAsia" w:ascii="宋体" w:hAnsi="宋体"/>
          <w:sz w:val="28"/>
          <w:szCs w:val="28"/>
        </w:rPr>
      </w:pPr>
      <w:r>
        <w:rPr>
          <w:rFonts w:hint="eastAsia" w:ascii="宋体" w:hAnsi="宋体"/>
          <w:sz w:val="28"/>
          <w:szCs w:val="28"/>
        </w:rPr>
        <w:t>3.所投产品还需提供医疗器械注册登记表或医疗器械生产产品登记表或医疗器械注册（备案）证。</w:t>
      </w:r>
    </w:p>
    <w:p>
      <w:pPr>
        <w:tabs>
          <w:tab w:val="left" w:pos="0"/>
        </w:tabs>
        <w:spacing w:line="560" w:lineRule="exact"/>
        <w:ind w:firstLine="560" w:firstLineChars="200"/>
        <w:rPr>
          <w:rFonts w:hint="eastAsia" w:ascii="宋体" w:hAnsi="宋体" w:eastAsia="宋体" w:cs="Times New Roman"/>
          <w:sz w:val="28"/>
          <w:szCs w:val="28"/>
        </w:rPr>
      </w:pPr>
      <w:r>
        <w:rPr>
          <w:rFonts w:hint="eastAsia" w:ascii="宋体" w:hAnsi="宋体" w:eastAsia="宋体" w:cs="Times New Roman"/>
          <w:sz w:val="28"/>
          <w:szCs w:val="28"/>
        </w:rPr>
        <w:t>（七）其他</w:t>
      </w:r>
    </w:p>
    <w:p>
      <w:pPr>
        <w:numPr>
          <w:ilvl w:val="0"/>
          <w:numId w:val="0"/>
        </w:numPr>
        <w:tabs>
          <w:tab w:val="left" w:pos="0"/>
          <w:tab w:val="left" w:pos="1122"/>
        </w:tabs>
        <w:spacing w:line="560" w:lineRule="exact"/>
        <w:ind w:left="0" w:leftChars="0" w:firstLine="560" w:firstLineChars="200"/>
        <w:outlineLvl w:val="3"/>
        <w:rPr>
          <w:rFonts w:eastAsia="黑体"/>
          <w:sz w:val="28"/>
          <w:szCs w:val="28"/>
        </w:rPr>
      </w:pPr>
      <w:r>
        <w:rPr>
          <w:rFonts w:hint="eastAsia" w:eastAsia="黑体" w:cs="Times New Roman"/>
          <w:kern w:val="2"/>
          <w:sz w:val="28"/>
          <w:szCs w:val="28"/>
          <w:lang w:val="en-US" w:eastAsia="zh-CN" w:bidi="ar-SA"/>
        </w:rPr>
        <w:t>五</w:t>
      </w:r>
      <w:r>
        <w:rPr>
          <w:rFonts w:ascii="Times New Roman" w:hAnsi="Times New Roman" w:eastAsia="黑体" w:cs="Times New Roman"/>
          <w:kern w:val="2"/>
          <w:sz w:val="28"/>
          <w:szCs w:val="28"/>
          <w:lang w:val="en-US" w:eastAsia="zh-CN" w:bidi="ar-SA"/>
        </w:rPr>
        <w:t>、</w:t>
      </w:r>
      <w:r>
        <w:rPr>
          <w:rFonts w:hint="eastAsia" w:eastAsia="黑体"/>
          <w:sz w:val="28"/>
          <w:szCs w:val="28"/>
          <w:lang w:eastAsia="zh-CN"/>
        </w:rPr>
        <w:t>谈判</w:t>
      </w:r>
      <w:r>
        <w:rPr>
          <w:rFonts w:eastAsia="黑体"/>
          <w:sz w:val="28"/>
          <w:szCs w:val="28"/>
        </w:rPr>
        <w:t>文件</w:t>
      </w:r>
      <w:r>
        <w:rPr>
          <w:rFonts w:hint="eastAsia" w:eastAsia="黑体"/>
          <w:sz w:val="28"/>
          <w:szCs w:val="28"/>
        </w:rPr>
        <w:t>申领</w:t>
      </w:r>
      <w:r>
        <w:rPr>
          <w:rFonts w:eastAsia="黑体"/>
          <w:sz w:val="28"/>
          <w:szCs w:val="28"/>
        </w:rPr>
        <w:t>时间、地点、方式</w:t>
      </w:r>
    </w:p>
    <w:p>
      <w:pPr>
        <w:spacing w:line="560" w:lineRule="exact"/>
        <w:ind w:firstLine="560" w:firstLineChars="200"/>
        <w:rPr>
          <w:rFonts w:hint="eastAsia" w:ascii="宋体" w:hAnsi="宋体"/>
          <w:sz w:val="28"/>
          <w:szCs w:val="28"/>
        </w:rPr>
      </w:pPr>
      <w:r>
        <w:rPr>
          <w:rFonts w:ascii="宋体" w:hAnsi="宋体"/>
          <w:sz w:val="28"/>
          <w:szCs w:val="28"/>
        </w:rPr>
        <w:t>（一）</w:t>
      </w:r>
      <w:r>
        <w:rPr>
          <w:rFonts w:hint="eastAsia" w:ascii="宋体" w:hAnsi="宋体"/>
          <w:sz w:val="28"/>
          <w:szCs w:val="28"/>
        </w:rPr>
        <w:t>申领</w:t>
      </w:r>
      <w:r>
        <w:rPr>
          <w:rFonts w:ascii="宋体" w:hAnsi="宋体"/>
          <w:sz w:val="28"/>
          <w:szCs w:val="28"/>
        </w:rPr>
        <w:t>时间</w:t>
      </w:r>
      <w:r>
        <w:rPr>
          <w:rFonts w:hint="eastAsia" w:ascii="宋体" w:hAnsi="宋体"/>
          <w:sz w:val="28"/>
          <w:szCs w:val="28"/>
        </w:rPr>
        <w:t>：</w:t>
      </w:r>
      <w:r>
        <w:rPr>
          <w:rFonts w:ascii="宋体" w:hAnsi="宋体"/>
          <w:sz w:val="28"/>
          <w:szCs w:val="28"/>
          <w:u w:val="single"/>
        </w:rPr>
        <w:t xml:space="preserve"> </w:t>
      </w:r>
      <w:r>
        <w:rPr>
          <w:rFonts w:hint="eastAsia" w:ascii="宋体" w:hAnsi="宋体"/>
          <w:sz w:val="28"/>
          <w:szCs w:val="28"/>
          <w:u w:val="single"/>
          <w:lang w:val="en-US" w:eastAsia="zh-CN"/>
        </w:rPr>
        <w:t>2024</w:t>
      </w:r>
      <w:r>
        <w:rPr>
          <w:rFonts w:ascii="宋体" w:hAnsi="宋体"/>
          <w:sz w:val="28"/>
          <w:szCs w:val="28"/>
          <w:u w:val="single"/>
        </w:rPr>
        <w:t xml:space="preserve">  </w:t>
      </w:r>
      <w:r>
        <w:rPr>
          <w:rFonts w:ascii="宋体" w:hAnsi="宋体"/>
          <w:sz w:val="28"/>
          <w:szCs w:val="28"/>
        </w:rPr>
        <w:t>年</w:t>
      </w:r>
      <w:r>
        <w:rPr>
          <w:rFonts w:ascii="宋体" w:hAnsi="宋体"/>
          <w:sz w:val="28"/>
          <w:szCs w:val="28"/>
          <w:u w:val="single"/>
        </w:rPr>
        <w:t xml:space="preserve"> </w:t>
      </w:r>
      <w:r>
        <w:rPr>
          <w:rFonts w:hint="eastAsia" w:ascii="宋体" w:hAnsi="宋体"/>
          <w:sz w:val="28"/>
          <w:szCs w:val="28"/>
          <w:u w:val="single"/>
          <w:lang w:val="en-US" w:eastAsia="zh-CN"/>
        </w:rPr>
        <w:t>3</w:t>
      </w:r>
      <w:r>
        <w:rPr>
          <w:rFonts w:ascii="宋体" w:hAnsi="宋体"/>
          <w:sz w:val="28"/>
          <w:szCs w:val="28"/>
          <w:u w:val="single"/>
        </w:rPr>
        <w:t xml:space="preserve"> </w:t>
      </w:r>
      <w:r>
        <w:rPr>
          <w:rFonts w:ascii="宋体" w:hAnsi="宋体"/>
          <w:sz w:val="28"/>
          <w:szCs w:val="28"/>
        </w:rPr>
        <w:t>月</w:t>
      </w:r>
      <w:r>
        <w:rPr>
          <w:rFonts w:ascii="宋体" w:hAnsi="宋体"/>
          <w:sz w:val="28"/>
          <w:szCs w:val="28"/>
          <w:u w:val="single"/>
        </w:rPr>
        <w:t xml:space="preserve"> </w:t>
      </w:r>
      <w:r>
        <w:rPr>
          <w:rFonts w:hint="eastAsia" w:ascii="宋体" w:hAnsi="宋体"/>
          <w:sz w:val="28"/>
          <w:szCs w:val="28"/>
          <w:u w:val="single"/>
          <w:lang w:val="en-US" w:eastAsia="zh-CN"/>
        </w:rPr>
        <w:t>22</w:t>
      </w:r>
      <w:r>
        <w:rPr>
          <w:rFonts w:ascii="宋体" w:hAnsi="宋体"/>
          <w:sz w:val="28"/>
          <w:szCs w:val="28"/>
          <w:u w:val="single"/>
        </w:rPr>
        <w:t xml:space="preserve"> </w:t>
      </w:r>
      <w:r>
        <w:rPr>
          <w:rFonts w:ascii="宋体" w:hAnsi="宋体"/>
          <w:sz w:val="28"/>
          <w:szCs w:val="28"/>
        </w:rPr>
        <w:t>日至</w:t>
      </w:r>
      <w:r>
        <w:rPr>
          <w:rFonts w:ascii="宋体" w:hAnsi="宋体"/>
          <w:sz w:val="28"/>
          <w:szCs w:val="28"/>
          <w:u w:val="single"/>
        </w:rPr>
        <w:t xml:space="preserve"> </w:t>
      </w:r>
      <w:r>
        <w:rPr>
          <w:rFonts w:hint="eastAsia" w:ascii="宋体" w:hAnsi="宋体"/>
          <w:sz w:val="28"/>
          <w:szCs w:val="28"/>
          <w:u w:val="single"/>
          <w:lang w:val="en-US" w:eastAsia="zh-CN"/>
        </w:rPr>
        <w:t>3</w:t>
      </w:r>
      <w:r>
        <w:rPr>
          <w:rFonts w:ascii="宋体" w:hAnsi="宋体"/>
          <w:sz w:val="28"/>
          <w:szCs w:val="28"/>
          <w:u w:val="single"/>
        </w:rPr>
        <w:t xml:space="preserve"> </w:t>
      </w:r>
      <w:r>
        <w:rPr>
          <w:rFonts w:ascii="宋体" w:hAnsi="宋体"/>
          <w:sz w:val="28"/>
          <w:szCs w:val="28"/>
        </w:rPr>
        <w:t>月</w:t>
      </w:r>
      <w:r>
        <w:rPr>
          <w:rFonts w:ascii="宋体" w:hAnsi="宋体"/>
          <w:sz w:val="28"/>
          <w:szCs w:val="28"/>
          <w:u w:val="single"/>
        </w:rPr>
        <w:t xml:space="preserve"> </w:t>
      </w:r>
      <w:r>
        <w:rPr>
          <w:rFonts w:hint="eastAsia" w:ascii="宋体" w:hAnsi="宋体"/>
          <w:sz w:val="28"/>
          <w:szCs w:val="28"/>
          <w:u w:val="single"/>
          <w:lang w:val="en-US" w:eastAsia="zh-CN"/>
        </w:rPr>
        <w:t>28</w:t>
      </w:r>
      <w:r>
        <w:rPr>
          <w:rFonts w:ascii="宋体" w:hAnsi="宋体"/>
          <w:sz w:val="28"/>
          <w:szCs w:val="28"/>
          <w:u w:val="single"/>
        </w:rPr>
        <w:t xml:space="preserve"> </w:t>
      </w:r>
      <w:r>
        <w:rPr>
          <w:rFonts w:ascii="宋体" w:hAnsi="宋体"/>
          <w:sz w:val="28"/>
          <w:szCs w:val="28"/>
        </w:rPr>
        <w:t>日</w:t>
      </w:r>
      <w:r>
        <w:rPr>
          <w:rFonts w:hint="eastAsia" w:ascii="宋体" w:hAnsi="宋体"/>
          <w:sz w:val="28"/>
          <w:szCs w:val="28"/>
          <w:lang w:val="en-US" w:eastAsia="zh-CN"/>
        </w:rPr>
        <w:t>18:20</w:t>
      </w:r>
      <w:r>
        <w:rPr>
          <w:rFonts w:hint="eastAsia" w:ascii="宋体" w:hAnsi="宋体"/>
          <w:sz w:val="28"/>
          <w:szCs w:val="28"/>
          <w:u w:val="single"/>
          <w:lang w:val="en-US" w:eastAsia="zh-CN"/>
        </w:rPr>
        <w:t>止</w:t>
      </w:r>
      <w:r>
        <w:rPr>
          <w:rFonts w:hint="eastAsia" w:ascii="宋体" w:hAnsi="宋体"/>
          <w:sz w:val="28"/>
          <w:szCs w:val="28"/>
        </w:rPr>
        <w:t>。</w:t>
      </w:r>
    </w:p>
    <w:p>
      <w:pPr>
        <w:tabs>
          <w:tab w:val="left" w:pos="0"/>
        </w:tabs>
        <w:spacing w:line="560" w:lineRule="exact"/>
        <w:ind w:firstLine="560" w:firstLineChars="200"/>
        <w:rPr>
          <w:rFonts w:ascii="宋体" w:hAnsi="宋体"/>
          <w:sz w:val="28"/>
          <w:szCs w:val="28"/>
        </w:rPr>
      </w:pPr>
      <w:r>
        <w:rPr>
          <w:rFonts w:ascii="宋体" w:hAnsi="宋体"/>
          <w:sz w:val="28"/>
          <w:szCs w:val="28"/>
        </w:rPr>
        <w:t>（二）</w:t>
      </w:r>
      <w:r>
        <w:rPr>
          <w:rFonts w:hint="eastAsia" w:ascii="宋体" w:hAnsi="宋体"/>
          <w:sz w:val="28"/>
          <w:szCs w:val="28"/>
        </w:rPr>
        <w:t>申领</w:t>
      </w:r>
      <w:r>
        <w:rPr>
          <w:rFonts w:ascii="宋体" w:hAnsi="宋体"/>
          <w:sz w:val="28"/>
          <w:szCs w:val="28"/>
        </w:rPr>
        <w:t>地点：</w:t>
      </w:r>
      <w:r>
        <w:rPr>
          <w:rFonts w:ascii="宋体" w:hAnsi="宋体"/>
          <w:sz w:val="28"/>
          <w:szCs w:val="28"/>
          <w:u w:val="single"/>
        </w:rPr>
        <w:t xml:space="preserve"> </w:t>
      </w:r>
      <w:r>
        <w:rPr>
          <w:rFonts w:hint="eastAsia" w:ascii="宋体" w:hAnsi="宋体"/>
          <w:sz w:val="28"/>
          <w:szCs w:val="28"/>
          <w:u w:val="single"/>
        </w:rPr>
        <w:t>线上申请</w:t>
      </w:r>
      <w:r>
        <w:rPr>
          <w:rFonts w:ascii="宋体" w:hAnsi="宋体"/>
          <w:sz w:val="28"/>
          <w:szCs w:val="28"/>
          <w:u w:val="single"/>
        </w:rPr>
        <w:t xml:space="preserve"> </w:t>
      </w:r>
      <w:r>
        <w:rPr>
          <w:rFonts w:ascii="宋体" w:hAnsi="宋体"/>
          <w:sz w:val="28"/>
          <w:szCs w:val="28"/>
        </w:rPr>
        <w:t>。</w:t>
      </w:r>
    </w:p>
    <w:p>
      <w:pPr>
        <w:tabs>
          <w:tab w:val="left" w:pos="0"/>
        </w:tabs>
        <w:spacing w:line="560" w:lineRule="exact"/>
        <w:ind w:firstLine="560" w:firstLineChars="200"/>
        <w:rPr>
          <w:rFonts w:hint="eastAsia" w:ascii="宋体" w:hAnsi="宋体"/>
          <w:sz w:val="28"/>
          <w:szCs w:val="28"/>
        </w:rPr>
      </w:pPr>
      <w:r>
        <w:rPr>
          <w:rFonts w:ascii="宋体" w:hAnsi="宋体"/>
          <w:sz w:val="28"/>
          <w:szCs w:val="28"/>
        </w:rPr>
        <w:t>（</w:t>
      </w:r>
      <w:r>
        <w:rPr>
          <w:rFonts w:hint="eastAsia" w:ascii="宋体" w:hAnsi="宋体"/>
          <w:sz w:val="28"/>
          <w:szCs w:val="28"/>
        </w:rPr>
        <w:t>三</w:t>
      </w:r>
      <w:r>
        <w:rPr>
          <w:rFonts w:ascii="宋体" w:hAnsi="宋体"/>
          <w:sz w:val="28"/>
          <w:szCs w:val="28"/>
        </w:rPr>
        <w:t>）</w:t>
      </w:r>
      <w:r>
        <w:rPr>
          <w:rFonts w:hint="eastAsia" w:ascii="宋体" w:hAnsi="宋体"/>
          <w:sz w:val="28"/>
          <w:szCs w:val="28"/>
        </w:rPr>
        <w:t>申领</w:t>
      </w:r>
      <w:r>
        <w:rPr>
          <w:rFonts w:hint="eastAsia" w:ascii="宋体" w:hAnsi="宋体"/>
          <w:sz w:val="28"/>
          <w:szCs w:val="28"/>
          <w:lang w:eastAsia="zh-CN"/>
        </w:rPr>
        <w:t>谈判</w:t>
      </w:r>
      <w:r>
        <w:rPr>
          <w:rFonts w:ascii="宋体" w:hAnsi="宋体"/>
          <w:sz w:val="28"/>
          <w:szCs w:val="28"/>
        </w:rPr>
        <w:t>文件时需提供以下</w:t>
      </w:r>
      <w:r>
        <w:rPr>
          <w:rFonts w:hint="eastAsia" w:ascii="宋体" w:hAnsi="宋体"/>
          <w:sz w:val="28"/>
          <w:szCs w:val="28"/>
        </w:rPr>
        <w:t>资料：</w:t>
      </w:r>
    </w:p>
    <w:p>
      <w:pPr>
        <w:tabs>
          <w:tab w:val="left" w:pos="0"/>
        </w:tabs>
        <w:spacing w:line="56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营业执照或事业单位法人证书复印件加盖公章(军队单位不需要提供)（附录1）</w:t>
      </w:r>
      <w:r>
        <w:rPr>
          <w:rFonts w:ascii="宋体" w:hAnsi="宋体"/>
          <w:sz w:val="28"/>
          <w:szCs w:val="28"/>
        </w:rPr>
        <w:t>；</w:t>
      </w:r>
    </w:p>
    <w:p>
      <w:pPr>
        <w:tabs>
          <w:tab w:val="left" w:pos="0"/>
        </w:tabs>
        <w:spacing w:line="560" w:lineRule="exact"/>
        <w:ind w:firstLine="560" w:firstLineChars="200"/>
        <w:rPr>
          <w:rFonts w:ascii="宋体" w:hAnsi="宋体"/>
          <w:sz w:val="28"/>
          <w:szCs w:val="28"/>
        </w:rPr>
      </w:pPr>
      <w:r>
        <w:rPr>
          <w:rFonts w:hint="eastAsia" w:ascii="宋体" w:hAnsi="宋体"/>
          <w:sz w:val="28"/>
          <w:szCs w:val="28"/>
        </w:rPr>
        <w:t>2.法定代表人资格证明书</w:t>
      </w:r>
      <w:r>
        <w:rPr>
          <w:rFonts w:hint="eastAsia" w:ascii="宋体" w:hAnsi="宋体"/>
          <w:sz w:val="28"/>
          <w:szCs w:val="28"/>
          <w:lang w:val="en-US" w:eastAsia="zh-CN"/>
        </w:rPr>
        <w:t>扫描件</w:t>
      </w:r>
      <w:r>
        <w:rPr>
          <w:rFonts w:hint="eastAsia" w:ascii="宋体" w:hAnsi="宋体"/>
          <w:sz w:val="28"/>
          <w:szCs w:val="28"/>
        </w:rPr>
        <w:t>（附录</w:t>
      </w:r>
      <w:r>
        <w:rPr>
          <w:rFonts w:hint="eastAsia" w:ascii="宋体" w:hAnsi="宋体"/>
          <w:sz w:val="28"/>
          <w:szCs w:val="28"/>
          <w:lang w:val="en-US" w:eastAsia="zh-CN"/>
        </w:rPr>
        <w:t>2</w:t>
      </w:r>
      <w:r>
        <w:rPr>
          <w:rFonts w:hint="eastAsia" w:ascii="宋体" w:hAnsi="宋体"/>
          <w:sz w:val="28"/>
          <w:szCs w:val="28"/>
        </w:rPr>
        <w:t>）；</w:t>
      </w:r>
    </w:p>
    <w:p>
      <w:pPr>
        <w:tabs>
          <w:tab w:val="left" w:pos="0"/>
        </w:tabs>
        <w:spacing w:line="560" w:lineRule="exact"/>
        <w:ind w:firstLine="560" w:firstLineChars="200"/>
        <w:rPr>
          <w:rFonts w:hint="eastAsia" w:ascii="宋体" w:hAnsi="宋体" w:eastAsia="宋体"/>
          <w:color w:val="FF0000"/>
          <w:sz w:val="28"/>
          <w:szCs w:val="28"/>
          <w:highlight w:val="yellow"/>
          <w:lang w:eastAsia="zh-CN"/>
        </w:rPr>
      </w:pPr>
      <w:r>
        <w:rPr>
          <w:rFonts w:hint="eastAsia" w:ascii="宋体" w:hAnsi="宋体"/>
          <w:sz w:val="28"/>
          <w:szCs w:val="28"/>
        </w:rPr>
        <w:t>3.</w:t>
      </w:r>
      <w:r>
        <w:rPr>
          <w:rFonts w:ascii="宋体" w:hAnsi="宋体"/>
          <w:b w:val="0"/>
          <w:bCs/>
          <w:color w:val="auto"/>
          <w:sz w:val="28"/>
          <w:szCs w:val="28"/>
        </w:rPr>
        <w:t>法定代表人授权书原件</w:t>
      </w:r>
      <w:r>
        <w:rPr>
          <w:rFonts w:hint="eastAsia" w:ascii="宋体" w:hAnsi="宋体"/>
          <w:b w:val="0"/>
          <w:bCs/>
          <w:color w:val="auto"/>
          <w:sz w:val="28"/>
          <w:szCs w:val="28"/>
          <w:lang w:eastAsia="zh-CN"/>
        </w:rPr>
        <w:t>（附录</w:t>
      </w:r>
      <w:r>
        <w:rPr>
          <w:rFonts w:hint="eastAsia" w:ascii="宋体" w:hAnsi="宋体"/>
          <w:b w:val="0"/>
          <w:bCs/>
          <w:color w:val="auto"/>
          <w:sz w:val="28"/>
          <w:szCs w:val="28"/>
          <w:lang w:val="en-US" w:eastAsia="zh-CN"/>
        </w:rPr>
        <w:t>3</w:t>
      </w:r>
      <w:r>
        <w:rPr>
          <w:rFonts w:hint="eastAsia" w:ascii="宋体" w:hAnsi="宋体"/>
          <w:b w:val="0"/>
          <w:bCs/>
          <w:color w:val="auto"/>
          <w:sz w:val="28"/>
          <w:szCs w:val="28"/>
          <w:lang w:eastAsia="zh-CN"/>
        </w:rPr>
        <w:t>）</w:t>
      </w:r>
      <w:r>
        <w:rPr>
          <w:rFonts w:ascii="宋体" w:hAnsi="宋体"/>
          <w:b w:val="0"/>
          <w:bCs/>
          <w:color w:val="auto"/>
          <w:sz w:val="28"/>
          <w:szCs w:val="28"/>
        </w:rPr>
        <w:t>，授权代表身份证和</w:t>
      </w:r>
      <w:r>
        <w:rPr>
          <w:rFonts w:hint="eastAsia" w:ascii="宋体" w:hAnsi="宋体"/>
          <w:b w:val="0"/>
          <w:bCs/>
          <w:color w:val="auto"/>
          <w:sz w:val="28"/>
          <w:szCs w:val="28"/>
        </w:rPr>
        <w:t>授权代表</w:t>
      </w:r>
      <w:r>
        <w:rPr>
          <w:rFonts w:hint="eastAsia" w:ascii="宋体" w:hAnsi="宋体"/>
          <w:b w:val="0"/>
          <w:bCs/>
          <w:color w:val="auto"/>
          <w:sz w:val="28"/>
          <w:szCs w:val="28"/>
          <w:lang w:eastAsia="zh-CN"/>
        </w:rPr>
        <w:t>报价</w:t>
      </w:r>
      <w:r>
        <w:rPr>
          <w:rFonts w:hint="eastAsia" w:ascii="宋体" w:hAnsi="宋体"/>
          <w:b w:val="0"/>
          <w:bCs/>
          <w:color w:val="auto"/>
          <w:sz w:val="28"/>
          <w:szCs w:val="28"/>
        </w:rPr>
        <w:t>前4个月内（不含</w:t>
      </w:r>
      <w:r>
        <w:rPr>
          <w:rFonts w:hint="eastAsia" w:ascii="宋体" w:hAnsi="宋体"/>
          <w:b w:val="0"/>
          <w:bCs/>
          <w:color w:val="auto"/>
          <w:sz w:val="28"/>
          <w:szCs w:val="28"/>
          <w:lang w:eastAsia="zh-CN"/>
        </w:rPr>
        <w:t>报价</w:t>
      </w:r>
      <w:r>
        <w:rPr>
          <w:rFonts w:hint="eastAsia" w:ascii="宋体" w:hAnsi="宋体"/>
          <w:b w:val="0"/>
          <w:bCs/>
          <w:color w:val="auto"/>
          <w:sz w:val="28"/>
          <w:szCs w:val="28"/>
        </w:rPr>
        <w:t>当月）连续3个月由</w:t>
      </w:r>
      <w:r>
        <w:rPr>
          <w:rFonts w:hint="eastAsia" w:ascii="宋体" w:hAnsi="宋体"/>
          <w:b w:val="0"/>
          <w:bCs/>
          <w:color w:val="auto"/>
          <w:sz w:val="28"/>
          <w:szCs w:val="28"/>
          <w:lang w:eastAsia="zh-CN"/>
        </w:rPr>
        <w:t>报价</w:t>
      </w:r>
      <w:r>
        <w:rPr>
          <w:rFonts w:hint="eastAsia" w:ascii="宋体" w:hAnsi="宋体"/>
          <w:b w:val="0"/>
          <w:bCs/>
          <w:color w:val="auto"/>
          <w:sz w:val="28"/>
          <w:szCs w:val="28"/>
        </w:rPr>
        <w:t>供应商缴纳的社保证明材料。代缴社保证明材料不予认可</w:t>
      </w:r>
      <w:r>
        <w:rPr>
          <w:rFonts w:ascii="宋体" w:hAnsi="宋体"/>
          <w:b w:val="0"/>
          <w:bCs/>
          <w:color w:val="auto"/>
          <w:sz w:val="28"/>
          <w:szCs w:val="28"/>
        </w:rPr>
        <w:t>；</w:t>
      </w:r>
    </w:p>
    <w:p>
      <w:pPr>
        <w:spacing w:line="560" w:lineRule="exact"/>
        <w:ind w:firstLine="560" w:firstLineChars="200"/>
        <w:rPr>
          <w:rFonts w:ascii="宋体" w:hAnsi="宋体"/>
          <w:sz w:val="28"/>
          <w:szCs w:val="28"/>
        </w:rPr>
      </w:pPr>
      <w:r>
        <w:rPr>
          <w:rFonts w:hint="eastAsia" w:ascii="宋体" w:hAnsi="宋体"/>
          <w:sz w:val="28"/>
          <w:szCs w:val="28"/>
          <w:highlight w:val="none"/>
        </w:rPr>
        <w:t>4</w:t>
      </w:r>
      <w:r>
        <w:rPr>
          <w:rFonts w:ascii="宋体" w:hAnsi="宋体"/>
          <w:sz w:val="28"/>
          <w:szCs w:val="28"/>
          <w:highlight w:val="none"/>
        </w:rPr>
        <w:t>.非外资企业或外资控股企业的书面声明</w:t>
      </w:r>
      <w:r>
        <w:rPr>
          <w:rFonts w:hint="eastAsia" w:ascii="宋体" w:hAnsi="宋体"/>
          <w:sz w:val="28"/>
          <w:szCs w:val="28"/>
          <w:highlight w:val="none"/>
        </w:rPr>
        <w:t>（企业</w:t>
      </w:r>
      <w:r>
        <w:rPr>
          <w:rFonts w:hint="eastAsia" w:ascii="宋体" w:hAnsi="宋体"/>
          <w:sz w:val="28"/>
          <w:szCs w:val="28"/>
        </w:rPr>
        <w:t>提供，事业单位、军队单位不需要提供）（附录</w:t>
      </w:r>
      <w:r>
        <w:rPr>
          <w:rFonts w:hint="eastAsia" w:ascii="宋体" w:hAnsi="宋体"/>
          <w:sz w:val="28"/>
          <w:szCs w:val="28"/>
          <w:lang w:val="en-US" w:eastAsia="zh-CN"/>
        </w:rPr>
        <w:t>4</w:t>
      </w:r>
      <w:r>
        <w:rPr>
          <w:rFonts w:hint="eastAsia" w:ascii="宋体" w:hAnsi="宋体"/>
          <w:sz w:val="28"/>
          <w:szCs w:val="28"/>
        </w:rPr>
        <w:t>）</w:t>
      </w:r>
      <w:r>
        <w:rPr>
          <w:rFonts w:ascii="宋体" w:hAnsi="宋体"/>
          <w:sz w:val="28"/>
          <w:szCs w:val="28"/>
        </w:rPr>
        <w:t>；</w:t>
      </w:r>
    </w:p>
    <w:p>
      <w:pPr>
        <w:spacing w:line="560" w:lineRule="exact"/>
        <w:ind w:firstLine="560" w:firstLineChars="200"/>
        <w:rPr>
          <w:rFonts w:hint="eastAsia" w:ascii="宋体" w:hAnsi="宋体"/>
          <w:sz w:val="28"/>
          <w:szCs w:val="28"/>
        </w:rPr>
      </w:pPr>
      <w:r>
        <w:rPr>
          <w:rFonts w:hint="eastAsia" w:ascii="宋体" w:hAnsi="宋体"/>
          <w:sz w:val="28"/>
          <w:szCs w:val="28"/>
        </w:rPr>
        <w:t>5</w:t>
      </w:r>
      <w:r>
        <w:rPr>
          <w:rFonts w:ascii="宋体" w:hAnsi="宋体"/>
          <w:sz w:val="28"/>
          <w:szCs w:val="28"/>
        </w:rPr>
        <w:t>.</w:t>
      </w:r>
      <w:r>
        <w:rPr>
          <w:rFonts w:hint="eastAsia" w:ascii="宋体" w:hAnsi="宋体"/>
          <w:sz w:val="28"/>
          <w:szCs w:val="28"/>
          <w:lang w:eastAsia="zh-CN"/>
        </w:rPr>
        <w:t>报价</w:t>
      </w:r>
      <w:r>
        <w:rPr>
          <w:rFonts w:ascii="宋体" w:hAnsi="宋体"/>
          <w:sz w:val="28"/>
          <w:szCs w:val="28"/>
        </w:rPr>
        <w:t>供应商主要股东或出资人信息</w:t>
      </w:r>
      <w:r>
        <w:rPr>
          <w:rFonts w:hint="eastAsia" w:ascii="宋体" w:hAnsi="宋体"/>
          <w:sz w:val="28"/>
          <w:szCs w:val="28"/>
        </w:rPr>
        <w:t>（附录</w:t>
      </w:r>
      <w:r>
        <w:rPr>
          <w:rFonts w:hint="eastAsia" w:ascii="宋体" w:hAnsi="宋体"/>
          <w:sz w:val="28"/>
          <w:szCs w:val="28"/>
          <w:lang w:val="en-US" w:eastAsia="zh-CN"/>
        </w:rPr>
        <w:t>5</w:t>
      </w:r>
      <w:r>
        <w:rPr>
          <w:rFonts w:hint="eastAsia" w:ascii="宋体" w:hAnsi="宋体"/>
          <w:sz w:val="28"/>
          <w:szCs w:val="28"/>
        </w:rPr>
        <w:t>）；</w:t>
      </w:r>
    </w:p>
    <w:p>
      <w:pPr>
        <w:snapToGrid w:val="0"/>
        <w:spacing w:line="560" w:lineRule="exact"/>
        <w:ind w:firstLine="560" w:firstLineChars="200"/>
        <w:rPr>
          <w:rFonts w:ascii="宋体" w:hAnsi="宋体"/>
          <w:sz w:val="28"/>
          <w:szCs w:val="28"/>
        </w:rPr>
      </w:pPr>
      <w:r>
        <w:rPr>
          <w:rFonts w:hint="eastAsia" w:ascii="宋体" w:hAnsi="宋体"/>
          <w:sz w:val="28"/>
          <w:szCs w:val="28"/>
        </w:rPr>
        <w:t>6.未被“信用中国”网站列入失信被执行人、重大税收违法案件当事人名单，未被列入政府采购严重失信行为记录名单，未被列入军队供应商暂停名单，未在军队采购供应商失信名单禁入处罚期内、未被列入我院违规调查处理名单中的承诺书（附录</w:t>
      </w:r>
      <w:r>
        <w:rPr>
          <w:rFonts w:hint="eastAsia" w:ascii="宋体" w:hAnsi="宋体"/>
          <w:sz w:val="28"/>
          <w:szCs w:val="28"/>
          <w:lang w:val="en-US" w:eastAsia="zh-CN"/>
        </w:rPr>
        <w:t>6</w:t>
      </w:r>
      <w:r>
        <w:rPr>
          <w:rFonts w:hint="eastAsia" w:ascii="宋体" w:hAnsi="宋体"/>
          <w:sz w:val="28"/>
          <w:szCs w:val="28"/>
        </w:rPr>
        <w:t>）；</w:t>
      </w:r>
    </w:p>
    <w:p>
      <w:pPr>
        <w:spacing w:line="560" w:lineRule="atLeast"/>
        <w:ind w:firstLine="560" w:firstLineChars="200"/>
        <w:rPr>
          <w:rFonts w:hint="eastAsia" w:ascii="宋体" w:hAnsi="宋体"/>
          <w:sz w:val="28"/>
          <w:szCs w:val="28"/>
        </w:rPr>
      </w:pPr>
      <w:r>
        <w:rPr>
          <w:rFonts w:hint="eastAsia" w:ascii="宋体" w:hAnsi="宋体"/>
          <w:sz w:val="28"/>
          <w:szCs w:val="28"/>
        </w:rPr>
        <w:t>7.本项目特定资质材料（附录7）。</w:t>
      </w:r>
    </w:p>
    <w:p>
      <w:pPr>
        <w:snapToGrid w:val="0"/>
        <w:spacing w:line="560" w:lineRule="exact"/>
        <w:ind w:firstLine="562" w:firstLineChars="200"/>
        <w:rPr>
          <w:rFonts w:hint="eastAsia" w:ascii="宋体" w:hAnsi="宋体" w:eastAsia="宋体" w:cs="Times New Roman"/>
          <w:b/>
          <w:bCs/>
          <w:sz w:val="28"/>
          <w:szCs w:val="28"/>
        </w:rPr>
      </w:pPr>
      <w:r>
        <w:rPr>
          <w:rFonts w:hint="eastAsia" w:ascii="宋体" w:hAnsi="宋体" w:eastAsia="宋体" w:cs="Times New Roman"/>
          <w:b/>
          <w:bCs/>
          <w:sz w:val="28"/>
          <w:szCs w:val="28"/>
        </w:rPr>
        <w:t>备注：以上条件仅限于供应商申领</w:t>
      </w:r>
      <w:r>
        <w:rPr>
          <w:rFonts w:hint="eastAsia" w:ascii="宋体" w:hAnsi="宋体" w:eastAsia="宋体" w:cs="Times New Roman"/>
          <w:b/>
          <w:bCs/>
          <w:sz w:val="28"/>
          <w:szCs w:val="28"/>
          <w:lang w:eastAsia="zh-CN"/>
        </w:rPr>
        <w:t>谈判</w:t>
      </w:r>
      <w:r>
        <w:rPr>
          <w:rFonts w:hint="eastAsia" w:ascii="宋体" w:hAnsi="宋体" w:eastAsia="宋体" w:cs="Times New Roman"/>
          <w:b/>
          <w:bCs/>
          <w:sz w:val="28"/>
          <w:szCs w:val="28"/>
        </w:rPr>
        <w:t>文件的资质条件，供应商最终是否通过资格性符合性审查以</w:t>
      </w:r>
      <w:r>
        <w:rPr>
          <w:rFonts w:hint="eastAsia" w:ascii="宋体" w:hAnsi="宋体" w:eastAsia="宋体" w:cs="Times New Roman"/>
          <w:b/>
          <w:bCs/>
          <w:sz w:val="28"/>
          <w:szCs w:val="28"/>
          <w:lang w:eastAsia="zh-CN"/>
        </w:rPr>
        <w:t>谈判</w:t>
      </w:r>
      <w:r>
        <w:rPr>
          <w:rFonts w:hint="eastAsia" w:ascii="宋体" w:hAnsi="宋体" w:eastAsia="宋体" w:cs="Times New Roman"/>
          <w:b/>
          <w:bCs/>
          <w:sz w:val="28"/>
          <w:szCs w:val="28"/>
        </w:rPr>
        <w:t>评审现场依据</w:t>
      </w:r>
      <w:r>
        <w:rPr>
          <w:rFonts w:hint="eastAsia" w:ascii="宋体" w:hAnsi="宋体" w:eastAsia="宋体" w:cs="Times New Roman"/>
          <w:b/>
          <w:bCs/>
          <w:sz w:val="28"/>
          <w:szCs w:val="28"/>
          <w:lang w:eastAsia="zh-CN"/>
        </w:rPr>
        <w:t>报价</w:t>
      </w:r>
      <w:r>
        <w:rPr>
          <w:rFonts w:hint="eastAsia" w:ascii="宋体" w:hAnsi="宋体" w:eastAsia="宋体" w:cs="Times New Roman"/>
          <w:b/>
          <w:bCs/>
          <w:sz w:val="28"/>
          <w:szCs w:val="28"/>
        </w:rPr>
        <w:t>文件判定。</w:t>
      </w:r>
    </w:p>
    <w:p>
      <w:pPr>
        <w:tabs>
          <w:tab w:val="left" w:pos="0"/>
        </w:tabs>
        <w:spacing w:line="560" w:lineRule="atLeast"/>
        <w:ind w:firstLine="560" w:firstLineChars="200"/>
        <w:rPr>
          <w:rFonts w:ascii="宋体" w:hAnsi="宋体"/>
          <w:sz w:val="28"/>
          <w:szCs w:val="28"/>
        </w:rPr>
      </w:pPr>
      <w:r>
        <w:rPr>
          <w:rFonts w:ascii="宋体" w:hAnsi="宋体"/>
          <w:sz w:val="28"/>
          <w:szCs w:val="28"/>
        </w:rPr>
        <w:t>（</w:t>
      </w:r>
      <w:r>
        <w:rPr>
          <w:rFonts w:hint="eastAsia" w:ascii="宋体" w:hAnsi="宋体"/>
          <w:sz w:val="28"/>
          <w:szCs w:val="28"/>
        </w:rPr>
        <w:t>四</w:t>
      </w:r>
      <w:r>
        <w:rPr>
          <w:rFonts w:ascii="宋体" w:hAnsi="宋体"/>
          <w:sz w:val="28"/>
          <w:szCs w:val="28"/>
        </w:rPr>
        <w:t>）</w:t>
      </w:r>
      <w:r>
        <w:rPr>
          <w:rFonts w:hint="eastAsia" w:ascii="宋体" w:hAnsi="宋体"/>
          <w:sz w:val="28"/>
          <w:szCs w:val="28"/>
        </w:rPr>
        <w:t>申领</w:t>
      </w:r>
      <w:r>
        <w:rPr>
          <w:rFonts w:ascii="宋体" w:hAnsi="宋体"/>
          <w:sz w:val="28"/>
          <w:szCs w:val="28"/>
        </w:rPr>
        <w:t>方式</w:t>
      </w:r>
    </w:p>
    <w:p>
      <w:pPr>
        <w:pStyle w:val="39"/>
        <w:spacing w:before="0" w:beforeAutospacing="0" w:after="0" w:afterAutospacing="0" w:line="560" w:lineRule="atLeast"/>
        <w:ind w:firstLine="556"/>
        <w:rPr>
          <w:rFonts w:hint="eastAsia" w:cs="Times New Roman"/>
          <w:sz w:val="28"/>
          <w:szCs w:val="28"/>
        </w:rPr>
      </w:pPr>
      <w:r>
        <w:rPr>
          <w:rFonts w:hint="eastAsia" w:cs="Times New Roman"/>
          <w:sz w:val="28"/>
          <w:szCs w:val="28"/>
        </w:rPr>
        <w:t>本项目采取网上发售方式。报价人采取发送电子邮件方式递交报名资料，邮件主题：</w:t>
      </w:r>
      <w:r>
        <w:rPr>
          <w:rFonts w:hint="eastAsia" w:cs="Times New Roman"/>
          <w:sz w:val="28"/>
          <w:szCs w:val="28"/>
          <w:u w:val="single"/>
        </w:rPr>
        <w:t>项目名称+项目编号+公司名称+联系人+联系方式</w:t>
      </w:r>
      <w:r>
        <w:rPr>
          <w:rFonts w:hint="eastAsia" w:cs="Times New Roman"/>
          <w:sz w:val="28"/>
          <w:szCs w:val="28"/>
        </w:rPr>
        <w:t>；邮件内容：列明公司名称、法定代表人或授权代表人姓名及联系方式；邮件附件：需采用A4纸幅面，将报名材料加盖企业鲜章，按顺序制作成1个PDF格式文件，文件名称与主题一致，复印件扫描无效。报名材料审核通过后，采购机构联系人向供应商邮箱发送采购人谈判保证金账户；审核未通过的，采购机构联系人以邮件形式回复审核情况，供应商可在谈判文件申领时间内重新提交材料。采购机构邮箱：</w:t>
      </w:r>
      <w:r>
        <w:rPr>
          <w:rFonts w:hint="eastAsia" w:cs="Times New Roman"/>
          <w:sz w:val="28"/>
          <w:szCs w:val="28"/>
          <w:u w:val="single"/>
        </w:rPr>
        <w:t xml:space="preserve"> xqyycgzx774929@163.com  </w:t>
      </w:r>
      <w:r>
        <w:rPr>
          <w:rFonts w:hint="eastAsia" w:cs="Times New Roman"/>
          <w:sz w:val="28"/>
          <w:szCs w:val="28"/>
        </w:rPr>
        <w:t xml:space="preserve"> 。未按要求报名的供应商不得参与报价。</w:t>
      </w:r>
    </w:p>
    <w:p>
      <w:pPr>
        <w:spacing w:line="560" w:lineRule="atLeast"/>
        <w:ind w:firstLine="560" w:firstLineChars="200"/>
        <w:rPr>
          <w:rFonts w:hint="eastAsia" w:ascii="宋体" w:hAnsi="宋体"/>
          <w:sz w:val="28"/>
          <w:szCs w:val="28"/>
        </w:rPr>
      </w:pPr>
      <w:r>
        <w:rPr>
          <w:rFonts w:ascii="宋体" w:hAnsi="宋体"/>
          <w:sz w:val="28"/>
          <w:szCs w:val="28"/>
        </w:rPr>
        <w:t>（</w:t>
      </w:r>
      <w:r>
        <w:rPr>
          <w:rFonts w:hint="eastAsia" w:ascii="宋体" w:hAnsi="宋体"/>
          <w:sz w:val="28"/>
          <w:szCs w:val="28"/>
        </w:rPr>
        <w:t>五</w:t>
      </w:r>
      <w:r>
        <w:rPr>
          <w:rFonts w:ascii="宋体" w:hAnsi="宋体"/>
          <w:sz w:val="28"/>
          <w:szCs w:val="28"/>
        </w:rPr>
        <w:t>）</w:t>
      </w:r>
      <w:r>
        <w:rPr>
          <w:rFonts w:hint="eastAsia" w:ascii="宋体" w:hAnsi="宋体"/>
          <w:sz w:val="28"/>
          <w:szCs w:val="28"/>
          <w:lang w:eastAsia="zh-CN"/>
        </w:rPr>
        <w:t>谈判</w:t>
      </w:r>
      <w:r>
        <w:rPr>
          <w:rFonts w:ascii="宋体" w:hAnsi="宋体"/>
          <w:sz w:val="28"/>
          <w:szCs w:val="28"/>
        </w:rPr>
        <w:t>文件售价：</w:t>
      </w:r>
      <w:r>
        <w:rPr>
          <w:rFonts w:hint="eastAsia" w:ascii="宋体" w:hAnsi="宋体"/>
          <w:sz w:val="28"/>
          <w:szCs w:val="28"/>
          <w:u w:val="single"/>
        </w:rPr>
        <w:t xml:space="preserve"> 本次不收取费用</w:t>
      </w:r>
      <w:r>
        <w:rPr>
          <w:rFonts w:ascii="宋体" w:hAnsi="宋体"/>
          <w:sz w:val="28"/>
          <w:szCs w:val="28"/>
        </w:rPr>
        <w:t>。</w:t>
      </w:r>
    </w:p>
    <w:p>
      <w:pPr>
        <w:numPr>
          <w:ilvl w:val="0"/>
          <w:numId w:val="0"/>
        </w:numPr>
        <w:tabs>
          <w:tab w:val="left" w:pos="0"/>
          <w:tab w:val="left" w:pos="1122"/>
        </w:tabs>
        <w:spacing w:line="560" w:lineRule="atLeast"/>
        <w:ind w:left="0" w:leftChars="0" w:firstLine="560" w:firstLineChars="200"/>
        <w:outlineLvl w:val="3"/>
        <w:rPr>
          <w:rFonts w:eastAsia="黑体"/>
          <w:sz w:val="28"/>
          <w:szCs w:val="28"/>
        </w:rPr>
      </w:pPr>
      <w:r>
        <w:rPr>
          <w:rFonts w:hint="eastAsia" w:eastAsia="黑体" w:cs="Times New Roman"/>
          <w:kern w:val="2"/>
          <w:sz w:val="28"/>
          <w:szCs w:val="28"/>
          <w:lang w:val="en-US" w:eastAsia="zh-CN" w:bidi="ar-SA"/>
        </w:rPr>
        <w:t>六</w:t>
      </w:r>
      <w:r>
        <w:rPr>
          <w:rFonts w:ascii="Times New Roman" w:hAnsi="Times New Roman" w:eastAsia="黑体" w:cs="Times New Roman"/>
          <w:kern w:val="2"/>
          <w:sz w:val="28"/>
          <w:szCs w:val="28"/>
          <w:lang w:val="en-US" w:eastAsia="zh-CN" w:bidi="ar-SA"/>
        </w:rPr>
        <w:t>、</w:t>
      </w:r>
      <w:r>
        <w:rPr>
          <w:rFonts w:hint="eastAsia" w:ascii="Times New Roman" w:hAnsi="Times New Roman" w:eastAsia="黑体" w:cs="Times New Roman"/>
          <w:kern w:val="2"/>
          <w:sz w:val="28"/>
          <w:szCs w:val="28"/>
          <w:lang w:val="en-US" w:eastAsia="zh-CN" w:bidi="ar-SA"/>
        </w:rPr>
        <w:t>报价文件递交时间、地点及方式</w:t>
      </w:r>
    </w:p>
    <w:p>
      <w:pPr>
        <w:spacing w:line="560" w:lineRule="atLeast"/>
        <w:ind w:firstLine="560" w:firstLineChars="200"/>
        <w:rPr>
          <w:rFonts w:ascii="宋体" w:hAnsi="宋体" w:eastAsia="宋体" w:cs="Times New Roman"/>
          <w:sz w:val="28"/>
          <w:szCs w:val="28"/>
        </w:rPr>
      </w:pPr>
      <w:r>
        <w:rPr>
          <w:rFonts w:ascii="宋体" w:hAnsi="宋体" w:eastAsia="宋体" w:cs="Times New Roman"/>
          <w:sz w:val="28"/>
          <w:szCs w:val="28"/>
        </w:rPr>
        <w:t>（</w:t>
      </w:r>
      <w:r>
        <w:rPr>
          <w:rFonts w:hint="eastAsia" w:ascii="宋体" w:hAnsi="宋体" w:eastAsia="宋体" w:cs="Times New Roman"/>
          <w:sz w:val="28"/>
          <w:szCs w:val="28"/>
          <w:lang w:eastAsia="zh-CN"/>
        </w:rPr>
        <w:t>一</w:t>
      </w:r>
      <w:r>
        <w:rPr>
          <w:rFonts w:ascii="宋体" w:hAnsi="宋体" w:eastAsia="宋体" w:cs="Times New Roman"/>
          <w:sz w:val="28"/>
          <w:szCs w:val="28"/>
        </w:rPr>
        <w:t>）</w:t>
      </w:r>
      <w:r>
        <w:rPr>
          <w:rFonts w:hint="eastAsia" w:ascii="宋体" w:hAnsi="宋体" w:eastAsia="宋体" w:cs="Times New Roman"/>
          <w:sz w:val="28"/>
          <w:szCs w:val="28"/>
        </w:rPr>
        <w:t>报价文件递交开始时间</w:t>
      </w:r>
      <w:r>
        <w:rPr>
          <w:rFonts w:ascii="宋体" w:hAnsi="宋体" w:eastAsia="宋体" w:cs="Times New Roman"/>
          <w:sz w:val="28"/>
          <w:szCs w:val="28"/>
        </w:rPr>
        <w:t>：</w:t>
      </w:r>
      <w:r>
        <w:rPr>
          <w:rFonts w:hint="eastAsia" w:ascii="宋体" w:hAnsi="宋体" w:cs="Times New Roman"/>
          <w:sz w:val="28"/>
          <w:szCs w:val="28"/>
          <w:lang w:val="en-US" w:eastAsia="zh-CN"/>
        </w:rPr>
        <w:t>2024</w:t>
      </w:r>
      <w:r>
        <w:rPr>
          <w:rFonts w:ascii="宋体" w:hAnsi="宋体" w:eastAsia="宋体" w:cs="Times New Roman"/>
          <w:sz w:val="28"/>
          <w:szCs w:val="28"/>
        </w:rPr>
        <w:t xml:space="preserve"> 年</w:t>
      </w:r>
      <w:r>
        <w:rPr>
          <w:rFonts w:hint="eastAsia" w:ascii="宋体" w:hAnsi="宋体" w:cs="Times New Roman"/>
          <w:sz w:val="28"/>
          <w:szCs w:val="28"/>
          <w:lang w:val="en-US" w:eastAsia="zh-CN"/>
        </w:rPr>
        <w:t>4</w:t>
      </w:r>
      <w:r>
        <w:rPr>
          <w:rFonts w:ascii="宋体" w:hAnsi="宋体" w:eastAsia="宋体" w:cs="Times New Roman"/>
          <w:sz w:val="28"/>
          <w:szCs w:val="28"/>
        </w:rPr>
        <w:t xml:space="preserve">月 </w:t>
      </w:r>
      <w:r>
        <w:rPr>
          <w:rFonts w:hint="eastAsia" w:ascii="宋体" w:hAnsi="宋体" w:cs="Times New Roman"/>
          <w:sz w:val="28"/>
          <w:szCs w:val="28"/>
          <w:lang w:val="en-US" w:eastAsia="zh-CN"/>
        </w:rPr>
        <w:t>1</w:t>
      </w:r>
      <w:r>
        <w:rPr>
          <w:rFonts w:ascii="宋体" w:hAnsi="宋体" w:eastAsia="宋体" w:cs="Times New Roman"/>
          <w:sz w:val="28"/>
          <w:szCs w:val="28"/>
        </w:rPr>
        <w:t xml:space="preserve"> 日</w:t>
      </w:r>
      <w:r>
        <w:rPr>
          <w:rFonts w:hint="eastAsia" w:ascii="宋体" w:hAnsi="宋体" w:cs="Times New Roman"/>
          <w:sz w:val="28"/>
          <w:szCs w:val="28"/>
          <w:lang w:val="en-US" w:eastAsia="zh-CN"/>
        </w:rPr>
        <w:t>14</w:t>
      </w:r>
      <w:r>
        <w:rPr>
          <w:rFonts w:ascii="宋体" w:hAnsi="宋体" w:eastAsia="宋体" w:cs="Times New Roman"/>
          <w:sz w:val="28"/>
          <w:szCs w:val="28"/>
        </w:rPr>
        <w:t xml:space="preserve"> 时 </w:t>
      </w:r>
      <w:r>
        <w:rPr>
          <w:rFonts w:hint="eastAsia" w:ascii="宋体" w:hAnsi="宋体" w:cs="Times New Roman"/>
          <w:sz w:val="28"/>
          <w:szCs w:val="28"/>
          <w:lang w:val="en-US" w:eastAsia="zh-CN"/>
        </w:rPr>
        <w:t>30</w:t>
      </w:r>
      <w:r>
        <w:rPr>
          <w:rFonts w:ascii="宋体" w:hAnsi="宋体" w:eastAsia="宋体" w:cs="Times New Roman"/>
          <w:sz w:val="28"/>
          <w:szCs w:val="28"/>
        </w:rPr>
        <w:t>分（北京时间）。</w:t>
      </w:r>
    </w:p>
    <w:p>
      <w:pPr>
        <w:spacing w:line="560" w:lineRule="atLeast"/>
        <w:ind w:firstLine="560" w:firstLineChars="200"/>
        <w:rPr>
          <w:rFonts w:ascii="宋体" w:hAnsi="宋体" w:eastAsia="宋体" w:cs="Times New Roman"/>
          <w:sz w:val="28"/>
          <w:szCs w:val="28"/>
        </w:rPr>
      </w:pPr>
      <w:r>
        <w:rPr>
          <w:rFonts w:ascii="宋体" w:hAnsi="宋体" w:eastAsia="宋体" w:cs="Times New Roman"/>
          <w:sz w:val="28"/>
          <w:szCs w:val="28"/>
        </w:rPr>
        <w:t>（</w:t>
      </w:r>
      <w:r>
        <w:rPr>
          <w:rFonts w:hint="eastAsia" w:ascii="宋体" w:hAnsi="宋体" w:eastAsia="宋体" w:cs="Times New Roman"/>
          <w:sz w:val="28"/>
          <w:szCs w:val="28"/>
          <w:lang w:eastAsia="zh-CN"/>
        </w:rPr>
        <w:t>二</w:t>
      </w:r>
      <w:r>
        <w:rPr>
          <w:rFonts w:ascii="宋体" w:hAnsi="宋体" w:eastAsia="宋体" w:cs="Times New Roman"/>
          <w:sz w:val="28"/>
          <w:szCs w:val="28"/>
        </w:rPr>
        <w:t>）</w:t>
      </w:r>
      <w:r>
        <w:rPr>
          <w:rFonts w:hint="eastAsia" w:ascii="宋体" w:hAnsi="宋体" w:eastAsia="宋体" w:cs="Times New Roman"/>
          <w:sz w:val="28"/>
          <w:szCs w:val="28"/>
        </w:rPr>
        <w:t>报价文件递交截止时间</w:t>
      </w:r>
      <w:r>
        <w:rPr>
          <w:rFonts w:ascii="宋体" w:hAnsi="宋体" w:eastAsia="宋体" w:cs="Times New Roman"/>
          <w:sz w:val="28"/>
          <w:szCs w:val="28"/>
        </w:rPr>
        <w:t>：</w:t>
      </w:r>
      <w:r>
        <w:rPr>
          <w:rFonts w:hint="eastAsia" w:ascii="宋体" w:hAnsi="宋体" w:cs="Times New Roman"/>
          <w:sz w:val="28"/>
          <w:szCs w:val="28"/>
          <w:lang w:val="en-US" w:eastAsia="zh-CN"/>
        </w:rPr>
        <w:t>2024</w:t>
      </w:r>
      <w:r>
        <w:rPr>
          <w:rFonts w:ascii="宋体" w:hAnsi="宋体" w:eastAsia="宋体" w:cs="Times New Roman"/>
          <w:sz w:val="28"/>
          <w:szCs w:val="28"/>
        </w:rPr>
        <w:t>年</w:t>
      </w:r>
      <w:r>
        <w:rPr>
          <w:rFonts w:hint="eastAsia" w:ascii="宋体" w:hAnsi="宋体" w:cs="Times New Roman"/>
          <w:sz w:val="28"/>
          <w:szCs w:val="28"/>
          <w:lang w:val="en-US" w:eastAsia="zh-CN"/>
        </w:rPr>
        <w:t>4</w:t>
      </w:r>
      <w:r>
        <w:rPr>
          <w:rFonts w:ascii="宋体" w:hAnsi="宋体" w:eastAsia="宋体" w:cs="Times New Roman"/>
          <w:sz w:val="28"/>
          <w:szCs w:val="28"/>
        </w:rPr>
        <w:t>月</w:t>
      </w:r>
      <w:r>
        <w:rPr>
          <w:rFonts w:hint="eastAsia" w:ascii="宋体" w:hAnsi="宋体" w:cs="Times New Roman"/>
          <w:sz w:val="28"/>
          <w:szCs w:val="28"/>
          <w:lang w:val="en-US" w:eastAsia="zh-CN"/>
        </w:rPr>
        <w:t>1</w:t>
      </w:r>
      <w:r>
        <w:rPr>
          <w:rFonts w:ascii="宋体" w:hAnsi="宋体" w:eastAsia="宋体" w:cs="Times New Roman"/>
          <w:sz w:val="28"/>
          <w:szCs w:val="28"/>
        </w:rPr>
        <w:t xml:space="preserve"> 日</w:t>
      </w:r>
      <w:r>
        <w:rPr>
          <w:rFonts w:hint="eastAsia" w:ascii="宋体" w:hAnsi="宋体" w:cs="Times New Roman"/>
          <w:sz w:val="28"/>
          <w:szCs w:val="28"/>
          <w:lang w:val="en-US" w:eastAsia="zh-CN"/>
        </w:rPr>
        <w:t>15</w:t>
      </w:r>
      <w:r>
        <w:rPr>
          <w:rFonts w:ascii="宋体" w:hAnsi="宋体" w:eastAsia="宋体" w:cs="Times New Roman"/>
          <w:sz w:val="28"/>
          <w:szCs w:val="28"/>
        </w:rPr>
        <w:t xml:space="preserve">时 </w:t>
      </w:r>
      <w:r>
        <w:rPr>
          <w:rFonts w:hint="eastAsia" w:ascii="宋体" w:hAnsi="宋体" w:cs="Times New Roman"/>
          <w:sz w:val="28"/>
          <w:szCs w:val="28"/>
          <w:lang w:val="en-US" w:eastAsia="zh-CN"/>
        </w:rPr>
        <w:t>00</w:t>
      </w:r>
      <w:r>
        <w:rPr>
          <w:rFonts w:ascii="宋体" w:hAnsi="宋体" w:eastAsia="宋体" w:cs="Times New Roman"/>
          <w:sz w:val="28"/>
          <w:szCs w:val="28"/>
        </w:rPr>
        <w:t xml:space="preserve"> 分（北京时间）。</w:t>
      </w:r>
    </w:p>
    <w:p>
      <w:pPr>
        <w:spacing w:line="560" w:lineRule="atLeast"/>
        <w:ind w:firstLine="560" w:firstLineChars="200"/>
        <w:rPr>
          <w:rFonts w:ascii="宋体" w:hAnsi="宋体" w:eastAsia="宋体" w:cs="Times New Roman"/>
          <w:sz w:val="28"/>
          <w:szCs w:val="28"/>
        </w:rPr>
      </w:pPr>
      <w:r>
        <w:rPr>
          <w:rFonts w:ascii="宋体" w:hAnsi="宋体" w:eastAsia="宋体" w:cs="Times New Roman"/>
          <w:sz w:val="28"/>
          <w:szCs w:val="28"/>
        </w:rPr>
        <w:t>（</w:t>
      </w:r>
      <w:r>
        <w:rPr>
          <w:rFonts w:hint="eastAsia" w:ascii="宋体" w:hAnsi="宋体" w:eastAsia="宋体" w:cs="Times New Roman"/>
          <w:sz w:val="28"/>
          <w:szCs w:val="28"/>
          <w:lang w:eastAsia="zh-CN"/>
        </w:rPr>
        <w:t>三</w:t>
      </w:r>
      <w:r>
        <w:rPr>
          <w:rFonts w:ascii="宋体" w:hAnsi="宋体" w:eastAsia="宋体" w:cs="Times New Roman"/>
          <w:sz w:val="28"/>
          <w:szCs w:val="28"/>
        </w:rPr>
        <w:t>）</w:t>
      </w:r>
      <w:r>
        <w:rPr>
          <w:rFonts w:hint="eastAsia" w:ascii="宋体" w:hAnsi="宋体" w:eastAsia="宋体" w:cs="Times New Roman"/>
          <w:sz w:val="28"/>
          <w:szCs w:val="28"/>
        </w:rPr>
        <w:t>报价文件递交地点</w:t>
      </w:r>
      <w:r>
        <w:rPr>
          <w:rFonts w:ascii="宋体" w:hAnsi="宋体" w:eastAsia="宋体" w:cs="Times New Roman"/>
          <w:sz w:val="28"/>
          <w:szCs w:val="28"/>
        </w:rPr>
        <w:t>：</w:t>
      </w:r>
      <w:r>
        <w:rPr>
          <w:rFonts w:hint="eastAsia" w:ascii="宋体" w:hAnsi="宋体" w:eastAsia="宋体" w:cs="Times New Roman"/>
          <w:sz w:val="28"/>
          <w:szCs w:val="28"/>
        </w:rPr>
        <w:t>重庆市沙坪坝区新桥正街183号</w:t>
      </w:r>
      <w:r>
        <w:rPr>
          <w:rFonts w:ascii="宋体" w:hAnsi="宋体" w:eastAsia="宋体" w:cs="Times New Roman"/>
          <w:sz w:val="28"/>
          <w:szCs w:val="28"/>
        </w:rPr>
        <w:t>。</w:t>
      </w:r>
    </w:p>
    <w:p>
      <w:pPr>
        <w:pStyle w:val="117"/>
        <w:widowControl w:val="0"/>
        <w:spacing w:line="560" w:lineRule="exact"/>
        <w:ind w:left="11" w:firstLine="560" w:firstLineChars="200"/>
        <w:jc w:val="both"/>
        <w:rPr>
          <w:rFonts w:hint="eastAsia" w:ascii="宋体" w:hAnsi="宋体" w:eastAsia="宋体" w:cs="Times New Roman"/>
          <w:sz w:val="28"/>
          <w:szCs w:val="28"/>
          <w:highlight w:val="none"/>
          <w:lang w:eastAsia="zh-CN"/>
        </w:rPr>
      </w:pPr>
      <w:r>
        <w:rPr>
          <w:rFonts w:hint="eastAsia"/>
          <w:sz w:val="28"/>
          <w:szCs w:val="28"/>
          <w:lang w:eastAsia="zh-CN"/>
        </w:rPr>
        <w:t>（四）报价</w:t>
      </w:r>
      <w:r>
        <w:rPr>
          <w:sz w:val="28"/>
          <w:szCs w:val="28"/>
          <w:lang w:eastAsia="zh-CN"/>
        </w:rPr>
        <w:t>方式</w:t>
      </w:r>
      <w:r>
        <w:rPr>
          <w:rFonts w:hint="eastAsia"/>
          <w:sz w:val="28"/>
          <w:szCs w:val="28"/>
          <w:lang w:eastAsia="zh-CN"/>
        </w:rPr>
        <w:t>：由报价供应商法定代表人或授权代表现场递交报价文件，不接受邮寄等其他方式。</w:t>
      </w:r>
    </w:p>
    <w:p>
      <w:pPr>
        <w:numPr>
          <w:ilvl w:val="0"/>
          <w:numId w:val="0"/>
        </w:numPr>
        <w:tabs>
          <w:tab w:val="left" w:pos="0"/>
          <w:tab w:val="left" w:pos="1122"/>
        </w:tabs>
        <w:spacing w:line="560" w:lineRule="atLeast"/>
        <w:ind w:left="0" w:leftChars="0" w:firstLine="560" w:firstLineChars="200"/>
        <w:outlineLvl w:val="3"/>
        <w:rPr>
          <w:rFonts w:hint="default" w:ascii="Times New Roman" w:hAnsi="Times New Roman" w:eastAsia="黑体" w:cs="Times New Roman"/>
          <w:kern w:val="2"/>
          <w:sz w:val="28"/>
          <w:szCs w:val="28"/>
          <w:lang w:val="en-US" w:eastAsia="zh-CN" w:bidi="ar-SA"/>
        </w:rPr>
      </w:pPr>
      <w:r>
        <w:rPr>
          <w:rFonts w:hint="eastAsia" w:ascii="Times New Roman" w:hAnsi="Times New Roman" w:eastAsia="黑体" w:cs="Times New Roman"/>
          <w:kern w:val="2"/>
          <w:sz w:val="28"/>
          <w:szCs w:val="28"/>
          <w:lang w:val="en-US" w:eastAsia="zh-CN" w:bidi="ar-SA"/>
        </w:rPr>
        <w:t>七、标前答疑会、现场踏勘、样品评审</w:t>
      </w:r>
    </w:p>
    <w:p>
      <w:pPr>
        <w:pStyle w:val="117"/>
        <w:keepNext w:val="0"/>
        <w:keepLines w:val="0"/>
        <w:pageBreakBefore w:val="0"/>
        <w:widowControl w:val="0"/>
        <w:numPr>
          <w:ilvl w:val="0"/>
          <w:numId w:val="0"/>
        </w:numPr>
        <w:kinsoku/>
        <w:wordWrap/>
        <w:overflowPunct/>
        <w:topLinePunct w:val="0"/>
        <w:autoSpaceDE/>
        <w:autoSpaceDN/>
        <w:bidi w:val="0"/>
        <w:adjustRightInd/>
        <w:snapToGrid/>
        <w:spacing w:before="195" w:beforeLines="50" w:line="560" w:lineRule="exact"/>
        <w:ind w:leftChars="200"/>
        <w:textAlignment w:val="auto"/>
        <w:rPr>
          <w:sz w:val="28"/>
          <w:szCs w:val="28"/>
          <w:highlight w:val="none"/>
        </w:rPr>
      </w:pPr>
      <w:r>
        <w:rPr>
          <w:rFonts w:hint="eastAsia" w:eastAsia="黑体"/>
          <w:b w:val="0"/>
          <w:bCs/>
          <w:sz w:val="28"/>
          <w:szCs w:val="28"/>
          <w:highlight w:val="none"/>
          <w:lang w:val="en-US" w:eastAsia="zh-CN"/>
        </w:rPr>
        <w:t>本项目不涉及。</w:t>
      </w:r>
    </w:p>
    <w:p>
      <w:pPr>
        <w:numPr>
          <w:ilvl w:val="0"/>
          <w:numId w:val="0"/>
        </w:numPr>
        <w:tabs>
          <w:tab w:val="left" w:pos="0"/>
          <w:tab w:val="left" w:pos="1122"/>
        </w:tabs>
        <w:spacing w:line="560" w:lineRule="exact"/>
        <w:ind w:leftChars="200" w:firstLine="280" w:firstLineChars="100"/>
        <w:outlineLvl w:val="3"/>
        <w:rPr>
          <w:rFonts w:hint="eastAsia" w:eastAsia="黑体"/>
          <w:sz w:val="28"/>
          <w:szCs w:val="28"/>
          <w:lang w:val="en-US" w:eastAsia="zh-CN"/>
        </w:rPr>
      </w:pPr>
      <w:r>
        <w:rPr>
          <w:rFonts w:hint="eastAsia" w:eastAsia="黑体"/>
          <w:sz w:val="28"/>
          <w:szCs w:val="28"/>
          <w:lang w:val="en-US" w:eastAsia="zh-CN"/>
        </w:rPr>
        <w:t>八、公告网址</w:t>
      </w:r>
    </w:p>
    <w:p>
      <w:pPr>
        <w:keepNext w:val="0"/>
        <w:keepLines w:val="0"/>
        <w:pageBreakBefore w:val="0"/>
        <w:widowControl w:val="0"/>
        <w:numPr>
          <w:ilvl w:val="0"/>
          <w:numId w:val="0"/>
        </w:numPr>
        <w:tabs>
          <w:tab w:val="left" w:pos="0"/>
          <w:tab w:val="left" w:pos="1122"/>
        </w:tabs>
        <w:kinsoku/>
        <w:wordWrap/>
        <w:overflowPunct/>
        <w:topLinePunct w:val="0"/>
        <w:autoSpaceDE/>
        <w:autoSpaceDN/>
        <w:bidi w:val="0"/>
        <w:adjustRightInd/>
        <w:snapToGrid/>
        <w:spacing w:line="560" w:lineRule="exact"/>
        <w:ind w:left="0" w:leftChars="0" w:firstLine="560" w:firstLineChars="200"/>
        <w:textAlignment w:val="auto"/>
        <w:rPr>
          <w:rFonts w:hint="eastAsia" w:ascii="宋体" w:hAnsi="宋体" w:eastAsia="宋体" w:cs="宋体"/>
          <w:b w:val="0"/>
          <w:bCs/>
          <w:snapToGrid w:val="0"/>
          <w:kern w:val="0"/>
          <w:sz w:val="28"/>
          <w:szCs w:val="28"/>
          <w:highlight w:val="none"/>
          <w:lang w:val="zh-CN" w:eastAsia="zh-CN" w:bidi="ar-SA"/>
        </w:rPr>
      </w:pPr>
      <w:r>
        <w:rPr>
          <w:rFonts w:hint="eastAsia" w:ascii="宋体" w:hAnsi="宋体" w:eastAsia="宋体" w:cs="宋体"/>
          <w:b w:val="0"/>
          <w:bCs/>
          <w:snapToGrid w:val="0"/>
          <w:kern w:val="0"/>
          <w:sz w:val="28"/>
          <w:szCs w:val="28"/>
          <w:highlight w:val="none"/>
          <w:lang w:val="zh-CN" w:eastAsia="zh-CN" w:bidi="ar-SA"/>
        </w:rPr>
        <w:t>本采购项目相关信息在“军队采购网（https://www.plap.</w:t>
      </w:r>
      <w:r>
        <w:rPr>
          <w:rFonts w:hint="eastAsia" w:ascii="宋体" w:hAnsi="宋体" w:eastAsia="宋体" w:cs="宋体"/>
          <w:b w:val="0"/>
          <w:bCs/>
          <w:snapToGrid w:val="0"/>
          <w:kern w:val="0"/>
          <w:sz w:val="28"/>
          <w:szCs w:val="28"/>
          <w:highlight w:val="none"/>
          <w:lang w:val="en-US" w:eastAsia="zh-CN" w:bidi="ar-SA"/>
        </w:rPr>
        <w:t>mil.</w:t>
      </w:r>
      <w:r>
        <w:rPr>
          <w:rFonts w:hint="eastAsia" w:ascii="宋体" w:hAnsi="宋体" w:eastAsia="宋体" w:cs="宋体"/>
          <w:b w:val="0"/>
          <w:bCs/>
          <w:snapToGrid w:val="0"/>
          <w:kern w:val="0"/>
          <w:sz w:val="28"/>
          <w:szCs w:val="28"/>
          <w:highlight w:val="none"/>
          <w:lang w:val="zh-CN" w:eastAsia="zh-CN" w:bidi="ar-SA"/>
        </w:rPr>
        <w:t>cn/）”、“中国政府采购网（http://www.ccgp.gov.cn/）”、“医院官网（https://www.xqhospital.com.cn/）”上发布。</w:t>
      </w:r>
    </w:p>
    <w:p>
      <w:pPr>
        <w:numPr>
          <w:ilvl w:val="0"/>
          <w:numId w:val="0"/>
        </w:numPr>
        <w:tabs>
          <w:tab w:val="left" w:pos="0"/>
          <w:tab w:val="left" w:pos="1122"/>
        </w:tabs>
        <w:spacing w:line="560" w:lineRule="exact"/>
        <w:ind w:leftChars="200" w:firstLine="280" w:firstLineChars="100"/>
        <w:outlineLvl w:val="3"/>
        <w:rPr>
          <w:rFonts w:hint="eastAsia" w:ascii="Times New Roman" w:hAnsi="Times New Roman" w:eastAsia="黑体" w:cs="Times New Roman"/>
          <w:sz w:val="28"/>
          <w:szCs w:val="28"/>
          <w:lang w:val="en-US" w:eastAsia="zh-CN"/>
        </w:rPr>
      </w:pPr>
      <w:r>
        <w:rPr>
          <w:rFonts w:hint="eastAsia" w:ascii="Times New Roman" w:hAnsi="Times New Roman" w:eastAsia="黑体" w:cs="Times New Roman"/>
          <w:sz w:val="28"/>
          <w:szCs w:val="28"/>
          <w:lang w:val="en-US" w:eastAsia="zh-CN"/>
        </w:rPr>
        <w:t>九、采购机构联系方式</w:t>
      </w:r>
    </w:p>
    <w:p>
      <w:pPr>
        <w:spacing w:line="560" w:lineRule="exact"/>
        <w:ind w:firstLine="560" w:firstLineChars="200"/>
        <w:rPr>
          <w:rFonts w:hint="eastAsia"/>
          <w:sz w:val="28"/>
          <w:szCs w:val="28"/>
        </w:rPr>
      </w:pPr>
      <w:r>
        <w:rPr>
          <w:sz w:val="28"/>
          <w:szCs w:val="28"/>
        </w:rPr>
        <w:t>联 系 人：</w:t>
      </w:r>
      <w:r>
        <w:rPr>
          <w:rFonts w:hint="eastAsia"/>
          <w:sz w:val="28"/>
          <w:szCs w:val="28"/>
          <w:u w:val="single"/>
          <w:lang w:val="en-US" w:eastAsia="zh-CN"/>
        </w:rPr>
        <w:t>夏</w:t>
      </w:r>
      <w:r>
        <w:rPr>
          <w:rFonts w:hint="eastAsia"/>
          <w:sz w:val="28"/>
          <w:szCs w:val="28"/>
          <w:u w:val="single"/>
        </w:rPr>
        <w:t>助理（报名情况咨询）</w:t>
      </w:r>
    </w:p>
    <w:p>
      <w:pPr>
        <w:spacing w:line="560" w:lineRule="exact"/>
        <w:ind w:firstLine="560" w:firstLineChars="200"/>
        <w:rPr>
          <w:rFonts w:hint="eastAsia"/>
          <w:sz w:val="28"/>
          <w:szCs w:val="28"/>
          <w:u w:val="single"/>
          <w:lang w:val="en-US" w:eastAsia="zh-CN"/>
        </w:rPr>
      </w:pPr>
      <w:r>
        <w:rPr>
          <w:rFonts w:hint="eastAsia"/>
          <w:sz w:val="28"/>
          <w:szCs w:val="28"/>
        </w:rPr>
        <w:t>办公电话</w:t>
      </w:r>
      <w:r>
        <w:rPr>
          <w:sz w:val="28"/>
          <w:szCs w:val="28"/>
        </w:rPr>
        <w:t>：</w:t>
      </w:r>
      <w:r>
        <w:rPr>
          <w:rFonts w:hint="eastAsia"/>
          <w:sz w:val="28"/>
          <w:szCs w:val="28"/>
          <w:u w:val="single"/>
        </w:rPr>
        <w:t>023-687</w:t>
      </w:r>
      <w:r>
        <w:rPr>
          <w:rFonts w:hint="eastAsia"/>
          <w:sz w:val="28"/>
          <w:szCs w:val="28"/>
          <w:u w:val="single"/>
          <w:lang w:val="en-US" w:eastAsia="zh-CN"/>
        </w:rPr>
        <w:t>63908</w:t>
      </w:r>
    </w:p>
    <w:p>
      <w:pPr>
        <w:spacing w:line="560" w:lineRule="exact"/>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联系人：</w:t>
      </w:r>
      <w:r>
        <w:rPr>
          <w:rFonts w:ascii="Times New Roman" w:hAnsi="Times New Roman" w:eastAsia="宋体" w:cs="Times New Roman"/>
          <w:sz w:val="28"/>
          <w:szCs w:val="28"/>
        </w:rPr>
        <w:t xml:space="preserve"> </w:t>
      </w:r>
      <w:r>
        <w:rPr>
          <w:rFonts w:hint="eastAsia" w:cs="Times New Roman"/>
          <w:sz w:val="28"/>
          <w:szCs w:val="28"/>
          <w:lang w:eastAsia="zh-CN"/>
        </w:rPr>
        <w:t>孔</w:t>
      </w:r>
      <w:r>
        <w:rPr>
          <w:rFonts w:hint="eastAsia" w:ascii="Times New Roman" w:hAnsi="Times New Roman" w:eastAsia="宋体" w:cs="Times New Roman"/>
          <w:sz w:val="28"/>
          <w:szCs w:val="28"/>
        </w:rPr>
        <w:t>助理（项目咨询）</w:t>
      </w:r>
      <w:r>
        <w:rPr>
          <w:rFonts w:ascii="Times New Roman" w:hAnsi="Times New Roman" w:eastAsia="宋体" w:cs="Times New Roman"/>
          <w:sz w:val="28"/>
          <w:szCs w:val="28"/>
        </w:rPr>
        <w:t xml:space="preserve"> </w:t>
      </w:r>
    </w:p>
    <w:p>
      <w:pPr>
        <w:spacing w:line="560" w:lineRule="exact"/>
        <w:ind w:firstLine="560" w:firstLineChars="200"/>
        <w:rPr>
          <w:rFonts w:hint="default" w:eastAsia="宋体"/>
          <w:sz w:val="28"/>
          <w:szCs w:val="28"/>
          <w:u w:val="single"/>
          <w:lang w:val="en-US" w:eastAsia="zh-CN"/>
        </w:rPr>
      </w:pPr>
      <w:r>
        <w:rPr>
          <w:rFonts w:hint="eastAsia"/>
          <w:sz w:val="28"/>
          <w:szCs w:val="28"/>
        </w:rPr>
        <w:t>办公电话</w:t>
      </w:r>
      <w:r>
        <w:rPr>
          <w:sz w:val="28"/>
          <w:szCs w:val="28"/>
        </w:rPr>
        <w:t>：</w:t>
      </w:r>
      <w:r>
        <w:rPr>
          <w:rFonts w:hint="eastAsia"/>
          <w:sz w:val="28"/>
          <w:szCs w:val="28"/>
          <w:u w:val="single"/>
        </w:rPr>
        <w:t>023-687749</w:t>
      </w:r>
      <w:r>
        <w:rPr>
          <w:rFonts w:hint="eastAsia"/>
          <w:sz w:val="28"/>
          <w:szCs w:val="28"/>
          <w:u w:val="single"/>
          <w:lang w:val="en-US" w:eastAsia="zh-CN"/>
        </w:rPr>
        <w:t>27</w:t>
      </w:r>
    </w:p>
    <w:p>
      <w:pPr>
        <w:spacing w:line="560" w:lineRule="exact"/>
        <w:ind w:firstLine="560" w:firstLineChars="200"/>
        <w:rPr>
          <w:sz w:val="28"/>
          <w:szCs w:val="28"/>
          <w:u w:val="single"/>
        </w:rPr>
      </w:pPr>
      <w:r>
        <w:rPr>
          <w:sz w:val="28"/>
          <w:szCs w:val="28"/>
        </w:rPr>
        <w:t>地    址：</w:t>
      </w:r>
      <w:r>
        <w:rPr>
          <w:rFonts w:hint="eastAsia"/>
          <w:sz w:val="28"/>
          <w:szCs w:val="28"/>
          <w:u w:val="single"/>
        </w:rPr>
        <w:t>重庆市沙坪坝区</w:t>
      </w:r>
    </w:p>
    <w:p>
      <w:pPr>
        <w:tabs>
          <w:tab w:val="left" w:pos="0"/>
          <w:tab w:val="left" w:pos="1122"/>
        </w:tabs>
        <w:spacing w:line="560" w:lineRule="exact"/>
        <w:ind w:left="567"/>
        <w:outlineLvl w:val="3"/>
        <w:rPr>
          <w:rFonts w:eastAsia="黑体"/>
          <w:sz w:val="28"/>
          <w:szCs w:val="28"/>
        </w:rPr>
      </w:pPr>
      <w:r>
        <w:rPr>
          <w:rFonts w:hint="eastAsia" w:eastAsia="黑体"/>
          <w:sz w:val="28"/>
          <w:szCs w:val="28"/>
        </w:rPr>
        <w:t>十</w:t>
      </w:r>
      <w:r>
        <w:rPr>
          <w:rFonts w:hint="eastAsia" w:eastAsia="黑体"/>
          <w:sz w:val="28"/>
          <w:szCs w:val="28"/>
          <w:lang w:val="en-US" w:eastAsia="zh-CN"/>
        </w:rPr>
        <w:t>一</w:t>
      </w:r>
      <w:r>
        <w:rPr>
          <w:rFonts w:hint="eastAsia" w:eastAsia="黑体"/>
          <w:sz w:val="28"/>
          <w:szCs w:val="28"/>
        </w:rPr>
        <w:t>、监督部门</w:t>
      </w:r>
      <w:r>
        <w:rPr>
          <w:rFonts w:eastAsia="黑体"/>
          <w:sz w:val="28"/>
          <w:szCs w:val="28"/>
        </w:rPr>
        <w:t>联系方式</w:t>
      </w:r>
    </w:p>
    <w:p>
      <w:pPr>
        <w:spacing w:line="560" w:lineRule="exact"/>
        <w:ind w:firstLine="560" w:firstLineChars="200"/>
        <w:rPr>
          <w:sz w:val="28"/>
          <w:szCs w:val="28"/>
          <w:u w:val="single"/>
        </w:rPr>
      </w:pPr>
      <w:r>
        <w:rPr>
          <w:rFonts w:hint="eastAsia"/>
          <w:sz w:val="28"/>
          <w:szCs w:val="28"/>
        </w:rPr>
        <w:t>项目监督</w:t>
      </w:r>
      <w:r>
        <w:rPr>
          <w:sz w:val="28"/>
          <w:szCs w:val="28"/>
        </w:rPr>
        <w:t>人：</w:t>
      </w:r>
      <w:r>
        <w:rPr>
          <w:sz w:val="28"/>
          <w:szCs w:val="28"/>
          <w:u w:val="single"/>
        </w:rPr>
        <w:t xml:space="preserve"> </w:t>
      </w:r>
      <w:r>
        <w:rPr>
          <w:rFonts w:hint="eastAsia"/>
          <w:sz w:val="28"/>
          <w:szCs w:val="28"/>
          <w:u w:val="single"/>
          <w:lang w:eastAsia="zh-CN"/>
        </w:rPr>
        <w:t>叶</w:t>
      </w:r>
      <w:r>
        <w:rPr>
          <w:rFonts w:hint="eastAsia"/>
          <w:sz w:val="28"/>
          <w:szCs w:val="28"/>
          <w:u w:val="single"/>
        </w:rPr>
        <w:t xml:space="preserve">助理    </w:t>
      </w:r>
    </w:p>
    <w:p>
      <w:pPr>
        <w:spacing w:line="560" w:lineRule="exact"/>
        <w:ind w:firstLine="560" w:firstLineChars="200"/>
        <w:rPr>
          <w:sz w:val="28"/>
          <w:szCs w:val="28"/>
          <w:u w:val="single"/>
        </w:rPr>
      </w:pPr>
      <w:r>
        <w:rPr>
          <w:rFonts w:hint="eastAsia"/>
          <w:sz w:val="28"/>
          <w:szCs w:val="28"/>
        </w:rPr>
        <w:t>办公电话</w:t>
      </w:r>
      <w:r>
        <w:rPr>
          <w:sz w:val="28"/>
          <w:szCs w:val="28"/>
        </w:rPr>
        <w:t>：</w:t>
      </w:r>
      <w:r>
        <w:rPr>
          <w:sz w:val="28"/>
          <w:szCs w:val="28"/>
          <w:u w:val="single"/>
        </w:rPr>
        <w:t xml:space="preserve"> </w:t>
      </w:r>
      <w:r>
        <w:rPr>
          <w:rFonts w:hint="eastAsia"/>
          <w:sz w:val="28"/>
          <w:szCs w:val="28"/>
          <w:u w:val="single"/>
        </w:rPr>
        <w:t>023-687</w:t>
      </w:r>
      <w:r>
        <w:rPr>
          <w:rFonts w:hint="eastAsia"/>
          <w:sz w:val="28"/>
          <w:szCs w:val="28"/>
          <w:u w:val="single"/>
          <w:lang w:val="en-US" w:eastAsia="zh-CN"/>
        </w:rPr>
        <w:t>55377</w:t>
      </w:r>
      <w:r>
        <w:rPr>
          <w:sz w:val="28"/>
          <w:szCs w:val="28"/>
          <w:u w:val="single"/>
        </w:rPr>
        <w:t xml:space="preserve">   </w:t>
      </w:r>
    </w:p>
    <w:p>
      <w:pPr>
        <w:spacing w:line="560" w:lineRule="exact"/>
        <w:ind w:firstLine="560" w:firstLineChars="200"/>
        <w:rPr>
          <w:sz w:val="28"/>
          <w:szCs w:val="28"/>
        </w:rPr>
      </w:pPr>
      <w:r>
        <w:rPr>
          <w:rFonts w:hint="eastAsia"/>
          <w:sz w:val="28"/>
          <w:szCs w:val="28"/>
        </w:rPr>
        <w:t xml:space="preserve">                       </w:t>
      </w:r>
    </w:p>
    <w:p>
      <w:pPr>
        <w:spacing w:line="560" w:lineRule="exact"/>
        <w:ind w:firstLine="560" w:firstLineChars="200"/>
        <w:jc w:val="center"/>
        <w:rPr>
          <w:rFonts w:hint="eastAsia"/>
          <w:sz w:val="28"/>
          <w:szCs w:val="28"/>
        </w:rPr>
      </w:pPr>
      <w:r>
        <w:rPr>
          <w:rFonts w:hint="eastAsia"/>
          <w:sz w:val="28"/>
          <w:szCs w:val="28"/>
        </w:rPr>
        <w:t xml:space="preserve">                              </w:t>
      </w:r>
      <w:r>
        <w:rPr>
          <w:sz w:val="28"/>
          <w:szCs w:val="28"/>
        </w:rPr>
        <w:t>采购机构：</w:t>
      </w:r>
      <w:r>
        <w:rPr>
          <w:rFonts w:hint="eastAsia"/>
          <w:sz w:val="28"/>
          <w:szCs w:val="28"/>
          <w:u w:val="single"/>
        </w:rPr>
        <w:t>物资采购中心</w:t>
      </w:r>
    </w:p>
    <w:p>
      <w:pPr>
        <w:spacing w:after="120" w:afterLines="50" w:line="560" w:lineRule="exact"/>
        <w:ind w:firstLine="5740" w:firstLineChars="2050"/>
        <w:jc w:val="left"/>
        <w:rPr>
          <w:sz w:val="28"/>
          <w:szCs w:val="28"/>
        </w:rPr>
      </w:pPr>
      <w:r>
        <w:rPr>
          <w:sz w:val="28"/>
          <w:szCs w:val="28"/>
          <w:u w:val="single"/>
        </w:rPr>
        <w:t xml:space="preserve"> </w:t>
      </w:r>
      <w:r>
        <w:rPr>
          <w:rFonts w:hint="eastAsia"/>
          <w:sz w:val="28"/>
          <w:szCs w:val="28"/>
          <w:u w:val="single"/>
          <w:lang w:val="en-US" w:eastAsia="zh-CN"/>
        </w:rPr>
        <w:t>2024</w:t>
      </w:r>
      <w:r>
        <w:rPr>
          <w:sz w:val="28"/>
          <w:szCs w:val="28"/>
          <w:u w:val="single"/>
        </w:rPr>
        <w:t xml:space="preserve"> </w:t>
      </w:r>
      <w:bookmarkStart w:id="813" w:name="_GoBack"/>
      <w:bookmarkEnd w:id="813"/>
      <w:r>
        <w:rPr>
          <w:sz w:val="28"/>
          <w:szCs w:val="28"/>
          <w:u w:val="single"/>
        </w:rPr>
        <w:t xml:space="preserve"> </w:t>
      </w:r>
      <w:r>
        <w:rPr>
          <w:sz w:val="28"/>
          <w:szCs w:val="28"/>
        </w:rPr>
        <w:t>年</w:t>
      </w:r>
      <w:r>
        <w:rPr>
          <w:sz w:val="28"/>
          <w:szCs w:val="28"/>
          <w:u w:val="single"/>
        </w:rPr>
        <w:t xml:space="preserve"> </w:t>
      </w:r>
      <w:r>
        <w:rPr>
          <w:rFonts w:hint="eastAsia"/>
          <w:sz w:val="28"/>
          <w:szCs w:val="28"/>
          <w:u w:val="single"/>
          <w:lang w:val="en-US" w:eastAsia="zh-CN"/>
        </w:rPr>
        <w:t>3</w:t>
      </w:r>
      <w:r>
        <w:rPr>
          <w:sz w:val="28"/>
          <w:szCs w:val="28"/>
          <w:u w:val="single"/>
        </w:rPr>
        <w:t xml:space="preserve"> </w:t>
      </w:r>
      <w:r>
        <w:rPr>
          <w:sz w:val="28"/>
          <w:szCs w:val="28"/>
        </w:rPr>
        <w:t>月</w:t>
      </w:r>
      <w:r>
        <w:rPr>
          <w:sz w:val="28"/>
          <w:szCs w:val="28"/>
          <w:u w:val="single"/>
        </w:rPr>
        <w:t xml:space="preserve"> </w:t>
      </w:r>
      <w:r>
        <w:rPr>
          <w:rFonts w:hint="eastAsia"/>
          <w:sz w:val="28"/>
          <w:szCs w:val="28"/>
          <w:u w:val="single"/>
          <w:lang w:val="en-US" w:eastAsia="zh-CN"/>
        </w:rPr>
        <w:t>21</w:t>
      </w:r>
      <w:r>
        <w:rPr>
          <w:sz w:val="28"/>
          <w:szCs w:val="28"/>
          <w:u w:val="single"/>
        </w:rPr>
        <w:t xml:space="preserve">  </w:t>
      </w:r>
      <w:r>
        <w:rPr>
          <w:sz w:val="28"/>
          <w:szCs w:val="28"/>
        </w:rPr>
        <w:t>日</w:t>
      </w:r>
    </w:p>
    <w:p>
      <w:pPr>
        <w:pStyle w:val="16"/>
        <w:rPr>
          <w:sz w:val="28"/>
          <w:szCs w:val="28"/>
        </w:rPr>
      </w:pPr>
    </w:p>
    <w:p>
      <w:pPr>
        <w:pStyle w:val="17"/>
        <w:rPr>
          <w:sz w:val="28"/>
          <w:szCs w:val="28"/>
        </w:rPr>
      </w:pPr>
    </w:p>
    <w:p>
      <w:pPr>
        <w:rPr>
          <w:sz w:val="28"/>
          <w:szCs w:val="28"/>
        </w:rPr>
      </w:pPr>
    </w:p>
    <w:p>
      <w:pPr>
        <w:pStyle w:val="16"/>
        <w:rPr>
          <w:sz w:val="28"/>
          <w:szCs w:val="28"/>
        </w:rPr>
      </w:pPr>
    </w:p>
    <w:p>
      <w:pPr>
        <w:pStyle w:val="17"/>
        <w:rPr>
          <w:sz w:val="28"/>
          <w:szCs w:val="28"/>
        </w:rPr>
      </w:pPr>
    </w:p>
    <w:p>
      <w:pPr>
        <w:rPr>
          <w:rFonts w:hint="eastAsia" w:eastAsia="方正小标宋简体"/>
          <w:bCs/>
          <w:sz w:val="44"/>
          <w:szCs w:val="44"/>
        </w:rPr>
      </w:pPr>
      <w:bookmarkStart w:id="630" w:name="_Toc21637"/>
      <w:bookmarkStart w:id="631" w:name="_Toc6773"/>
      <w:bookmarkStart w:id="632" w:name="_Toc423009247"/>
      <w:bookmarkStart w:id="633" w:name="_Toc27415"/>
      <w:r>
        <w:rPr>
          <w:rFonts w:hint="eastAsia" w:eastAsia="方正小标宋简体"/>
          <w:bCs/>
          <w:sz w:val="44"/>
          <w:szCs w:val="44"/>
        </w:rPr>
        <w:br w:type="page"/>
      </w:r>
    </w:p>
    <w:p>
      <w:pPr>
        <w:jc w:val="center"/>
        <w:outlineLvl w:val="9"/>
        <w:rPr>
          <w:rFonts w:eastAsia="方正小标宋简体"/>
          <w:bCs/>
          <w:sz w:val="44"/>
          <w:szCs w:val="44"/>
        </w:rPr>
      </w:pPr>
      <w:r>
        <w:rPr>
          <w:rFonts w:hint="eastAsia" w:eastAsia="方正小标宋简体"/>
          <w:bCs/>
          <w:sz w:val="44"/>
          <w:szCs w:val="44"/>
        </w:rPr>
        <w:t>采购</w:t>
      </w:r>
      <w:r>
        <w:rPr>
          <w:rFonts w:eastAsia="方正小标宋简体"/>
          <w:bCs/>
          <w:sz w:val="44"/>
          <w:szCs w:val="44"/>
        </w:rPr>
        <w:t>文件领取登记表</w:t>
      </w:r>
      <w:bookmarkEnd w:id="630"/>
      <w:bookmarkEnd w:id="631"/>
    </w:p>
    <w:p>
      <w:pPr>
        <w:spacing w:line="600" w:lineRule="exact"/>
        <w:rPr>
          <w:rFonts w:eastAsia="黑体"/>
          <w:sz w:val="30"/>
          <w:szCs w:val="30"/>
          <w:lang w:bidi="en-US"/>
        </w:rPr>
      </w:pPr>
      <w:r>
        <w:rPr>
          <w:rFonts w:eastAsia="黑体"/>
          <w:sz w:val="30"/>
          <w:szCs w:val="30"/>
        </w:rPr>
        <w:t>项目名称：</w:t>
      </w:r>
      <w:r>
        <w:rPr>
          <w:rFonts w:hint="eastAsia" w:eastAsia="黑体"/>
          <w:sz w:val="32"/>
          <w:szCs w:val="32"/>
        </w:rPr>
        <w:t xml:space="preserve">   </w:t>
      </w:r>
      <w:r>
        <w:rPr>
          <w:rFonts w:hint="eastAsia" w:ascii="方正小标宋简体" w:hAnsi="宋体" w:eastAsia="方正小标宋简体" w:cs="宋体"/>
          <w:sz w:val="32"/>
          <w:szCs w:val="32"/>
        </w:rPr>
        <w:t xml:space="preserve"> </w:t>
      </w:r>
    </w:p>
    <w:p>
      <w:pPr>
        <w:spacing w:line="600" w:lineRule="exact"/>
        <w:ind w:left="1470" w:hanging="1470" w:hangingChars="490"/>
        <w:rPr>
          <w:sz w:val="32"/>
          <w:szCs w:val="32"/>
        </w:rPr>
      </w:pPr>
      <w:r>
        <w:rPr>
          <w:rFonts w:eastAsia="黑体"/>
          <w:sz w:val="30"/>
          <w:szCs w:val="30"/>
        </w:rPr>
        <w:t>项目编号</w:t>
      </w:r>
      <w:r>
        <w:rPr>
          <w:rFonts w:hint="eastAsia" w:eastAsia="黑体"/>
          <w:sz w:val="30"/>
          <w:szCs w:val="30"/>
        </w:rPr>
        <w:t xml:space="preserve">：                 </w:t>
      </w:r>
      <w:r>
        <w:rPr>
          <w:rFonts w:hint="eastAsia" w:eastAsia="方正小标宋简体"/>
          <w:sz w:val="32"/>
          <w:szCs w:val="32"/>
        </w:rPr>
        <w:t xml:space="preserve"> </w:t>
      </w:r>
      <w:r>
        <w:rPr>
          <w:rFonts w:eastAsia="黑体"/>
        </w:rPr>
        <w:t>领取时间</w:t>
      </w:r>
      <w:r>
        <w:rPr>
          <w:rFonts w:hint="eastAsia" w:eastAsia="黑体"/>
        </w:rPr>
        <w:t xml:space="preserve">：   </w:t>
      </w:r>
      <w:r>
        <w:t>年</w:t>
      </w:r>
      <w:r>
        <w:rPr>
          <w:rFonts w:hint="eastAsia"/>
        </w:rPr>
        <w:t xml:space="preserve">  </w:t>
      </w:r>
      <w:r>
        <w:t>月</w:t>
      </w:r>
      <w:r>
        <w:rPr>
          <w:rFonts w:eastAsia="楷体_GB2312"/>
        </w:rPr>
        <w:t xml:space="preserve">  </w:t>
      </w:r>
      <w:r>
        <w:t>日</w:t>
      </w:r>
    </w:p>
    <w:tbl>
      <w:tblPr>
        <w:tblStyle w:val="44"/>
        <w:tblW w:w="9179" w:type="dxa"/>
        <w:jc w:val="center"/>
        <w:tblLayout w:type="fixed"/>
        <w:tblCellMar>
          <w:top w:w="0" w:type="dxa"/>
          <w:left w:w="108" w:type="dxa"/>
          <w:bottom w:w="0" w:type="dxa"/>
          <w:right w:w="108" w:type="dxa"/>
        </w:tblCellMar>
      </w:tblPr>
      <w:tblGrid>
        <w:gridCol w:w="2884"/>
        <w:gridCol w:w="6295"/>
      </w:tblGrid>
      <w:tr>
        <w:tblPrEx>
          <w:tblCellMar>
            <w:top w:w="0" w:type="dxa"/>
            <w:left w:w="108" w:type="dxa"/>
            <w:bottom w:w="0" w:type="dxa"/>
            <w:right w:w="108" w:type="dxa"/>
          </w:tblCellMar>
        </w:tblPrEx>
        <w:trPr>
          <w:trHeight w:val="651"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黑体"/>
                <w:sz w:val="28"/>
                <w:szCs w:val="32"/>
              </w:rPr>
            </w:pPr>
            <w:r>
              <w:rPr>
                <w:rFonts w:hint="eastAsia" w:eastAsia="黑体"/>
                <w:sz w:val="28"/>
                <w:szCs w:val="32"/>
              </w:rPr>
              <w:t>供应商</w:t>
            </w:r>
            <w:r>
              <w:rPr>
                <w:rFonts w:eastAsia="黑体"/>
                <w:sz w:val="28"/>
                <w:szCs w:val="32"/>
              </w:rPr>
              <w:t>全称</w:t>
            </w:r>
            <w:r>
              <w:rPr>
                <w:rFonts w:hint="eastAsia" w:eastAsia="黑体"/>
                <w:sz w:val="28"/>
                <w:szCs w:val="32"/>
              </w:rPr>
              <w:t>（盖章）</w:t>
            </w:r>
          </w:p>
        </w:tc>
        <w:tc>
          <w:tcPr>
            <w:tcW w:w="6295" w:type="dxa"/>
            <w:tcBorders>
              <w:top w:val="single" w:color="auto" w:sz="4" w:space="0"/>
              <w:left w:val="nil"/>
              <w:bottom w:val="single" w:color="auto" w:sz="4" w:space="0"/>
              <w:right w:val="single" w:color="auto" w:sz="4" w:space="0"/>
            </w:tcBorders>
            <w:noWrap w:val="0"/>
            <w:vAlign w:val="center"/>
          </w:tcPr>
          <w:p>
            <w:pPr>
              <w:widowControl/>
              <w:rPr>
                <w:rFonts w:eastAsia="楷体"/>
                <w:b/>
                <w:bCs/>
                <w:sz w:val="32"/>
                <w:szCs w:val="32"/>
              </w:rPr>
            </w:pPr>
          </w:p>
        </w:tc>
      </w:tr>
      <w:tr>
        <w:tblPrEx>
          <w:tblCellMar>
            <w:top w:w="0" w:type="dxa"/>
            <w:left w:w="108" w:type="dxa"/>
            <w:bottom w:w="0" w:type="dxa"/>
            <w:right w:w="108" w:type="dxa"/>
          </w:tblCellMar>
        </w:tblPrEx>
        <w:trPr>
          <w:trHeight w:val="577"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黑体"/>
                <w:sz w:val="28"/>
                <w:szCs w:val="32"/>
              </w:rPr>
            </w:pPr>
            <w:r>
              <w:rPr>
                <w:rFonts w:hint="eastAsia" w:eastAsia="黑体"/>
                <w:sz w:val="28"/>
                <w:szCs w:val="32"/>
              </w:rPr>
              <w:t>统一社会信用代码</w:t>
            </w:r>
          </w:p>
        </w:tc>
        <w:tc>
          <w:tcPr>
            <w:tcW w:w="6295" w:type="dxa"/>
            <w:tcBorders>
              <w:top w:val="single" w:color="auto" w:sz="4" w:space="0"/>
              <w:left w:val="nil"/>
              <w:bottom w:val="single" w:color="auto" w:sz="4" w:space="0"/>
              <w:right w:val="single" w:color="auto" w:sz="4" w:space="0"/>
            </w:tcBorders>
            <w:noWrap w:val="0"/>
            <w:vAlign w:val="center"/>
          </w:tcPr>
          <w:p>
            <w:pPr>
              <w:widowControl/>
              <w:ind w:firstLine="1320" w:firstLineChars="600"/>
              <w:rPr>
                <w:rFonts w:eastAsia="楷体"/>
                <w:bCs/>
                <w:sz w:val="32"/>
                <w:szCs w:val="32"/>
              </w:rPr>
            </w:pPr>
            <w:r>
              <w:rPr>
                <w:rFonts w:hint="eastAsia" w:eastAsia="楷体"/>
                <w:bCs/>
                <w:color w:val="7F7F7F"/>
                <w:sz w:val="22"/>
                <w:szCs w:val="32"/>
              </w:rPr>
              <w:t>（事业单位此项可不填写）</w:t>
            </w:r>
          </w:p>
        </w:tc>
      </w:tr>
      <w:tr>
        <w:tblPrEx>
          <w:tblCellMar>
            <w:top w:w="0" w:type="dxa"/>
            <w:left w:w="108" w:type="dxa"/>
            <w:bottom w:w="0" w:type="dxa"/>
            <w:right w:w="108" w:type="dxa"/>
          </w:tblCellMar>
        </w:tblPrEx>
        <w:trPr>
          <w:trHeight w:val="498" w:hRule="exact"/>
          <w:jc w:val="center"/>
        </w:trPr>
        <w:tc>
          <w:tcPr>
            <w:tcW w:w="2884" w:type="dxa"/>
            <w:vMerge w:val="restart"/>
            <w:tcBorders>
              <w:top w:val="nil"/>
              <w:left w:val="single" w:color="auto" w:sz="4" w:space="0"/>
              <w:right w:val="single" w:color="auto" w:sz="4" w:space="0"/>
            </w:tcBorders>
            <w:noWrap w:val="0"/>
            <w:vAlign w:val="center"/>
          </w:tcPr>
          <w:p>
            <w:pPr>
              <w:widowControl/>
              <w:jc w:val="center"/>
              <w:rPr>
                <w:rFonts w:eastAsia="黑体"/>
                <w:sz w:val="28"/>
                <w:szCs w:val="32"/>
              </w:rPr>
            </w:pPr>
            <w:r>
              <w:rPr>
                <w:rFonts w:hint="eastAsia" w:eastAsia="黑体"/>
                <w:sz w:val="28"/>
                <w:szCs w:val="32"/>
              </w:rPr>
              <w:t>采购</w:t>
            </w:r>
            <w:r>
              <w:rPr>
                <w:rFonts w:eastAsia="黑体"/>
                <w:sz w:val="28"/>
                <w:szCs w:val="32"/>
              </w:rPr>
              <w:t>文件领取人</w:t>
            </w:r>
          </w:p>
        </w:tc>
        <w:tc>
          <w:tcPr>
            <w:tcW w:w="6295" w:type="dxa"/>
            <w:tcBorders>
              <w:top w:val="nil"/>
              <w:left w:val="nil"/>
              <w:bottom w:val="single" w:color="auto" w:sz="4" w:space="0"/>
              <w:right w:val="single" w:color="auto" w:sz="4" w:space="0"/>
            </w:tcBorders>
            <w:noWrap w:val="0"/>
            <w:vAlign w:val="center"/>
          </w:tcPr>
          <w:p>
            <w:pPr>
              <w:widowControl/>
              <w:rPr>
                <w:rFonts w:eastAsia="楷体"/>
                <w:sz w:val="32"/>
                <w:szCs w:val="32"/>
              </w:rPr>
            </w:pPr>
            <w:r>
              <w:rPr>
                <w:rFonts w:eastAsia="楷体"/>
                <w:sz w:val="32"/>
                <w:szCs w:val="32"/>
              </w:rPr>
              <w:t xml:space="preserve">姓名：               </w:t>
            </w:r>
            <w:r>
              <w:rPr>
                <w:rFonts w:eastAsia="楷体"/>
                <w:bCs/>
                <w:sz w:val="32"/>
                <w:szCs w:val="32"/>
              </w:rPr>
              <w:t>电话：</w:t>
            </w:r>
          </w:p>
        </w:tc>
      </w:tr>
      <w:tr>
        <w:tblPrEx>
          <w:tblCellMar>
            <w:top w:w="0" w:type="dxa"/>
            <w:left w:w="108" w:type="dxa"/>
            <w:bottom w:w="0" w:type="dxa"/>
            <w:right w:w="108" w:type="dxa"/>
          </w:tblCellMar>
        </w:tblPrEx>
        <w:trPr>
          <w:trHeight w:val="553" w:hRule="exact"/>
          <w:jc w:val="center"/>
        </w:trPr>
        <w:tc>
          <w:tcPr>
            <w:tcW w:w="2884"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eastAsia="黑体"/>
                <w:sz w:val="28"/>
                <w:szCs w:val="32"/>
              </w:rPr>
            </w:pPr>
          </w:p>
        </w:tc>
        <w:tc>
          <w:tcPr>
            <w:tcW w:w="6295" w:type="dxa"/>
            <w:tcBorders>
              <w:top w:val="single" w:color="auto" w:sz="4" w:space="0"/>
              <w:left w:val="nil"/>
              <w:bottom w:val="single" w:color="auto" w:sz="4" w:space="0"/>
              <w:right w:val="single" w:color="auto" w:sz="4" w:space="0"/>
            </w:tcBorders>
            <w:noWrap w:val="0"/>
            <w:vAlign w:val="center"/>
          </w:tcPr>
          <w:p>
            <w:pPr>
              <w:widowControl/>
              <w:rPr>
                <w:rFonts w:eastAsia="楷体"/>
                <w:sz w:val="32"/>
                <w:szCs w:val="32"/>
              </w:rPr>
            </w:pPr>
            <w:r>
              <w:rPr>
                <w:rFonts w:eastAsia="楷体"/>
                <w:sz w:val="32"/>
                <w:szCs w:val="32"/>
              </w:rPr>
              <w:t>身份证号：</w:t>
            </w:r>
          </w:p>
        </w:tc>
      </w:tr>
      <w:tr>
        <w:tblPrEx>
          <w:tblCellMar>
            <w:top w:w="0" w:type="dxa"/>
            <w:left w:w="108" w:type="dxa"/>
            <w:bottom w:w="0" w:type="dxa"/>
            <w:right w:w="108" w:type="dxa"/>
          </w:tblCellMar>
        </w:tblPrEx>
        <w:trPr>
          <w:trHeight w:val="548" w:hRule="exact"/>
          <w:jc w:val="center"/>
        </w:trPr>
        <w:tc>
          <w:tcPr>
            <w:tcW w:w="2884" w:type="dxa"/>
            <w:vMerge w:val="restart"/>
            <w:tcBorders>
              <w:top w:val="nil"/>
              <w:left w:val="single" w:color="auto" w:sz="4" w:space="0"/>
              <w:right w:val="single" w:color="auto" w:sz="4" w:space="0"/>
            </w:tcBorders>
            <w:noWrap w:val="0"/>
            <w:vAlign w:val="center"/>
          </w:tcPr>
          <w:p>
            <w:pPr>
              <w:widowControl/>
              <w:spacing w:line="420" w:lineRule="exact"/>
              <w:jc w:val="center"/>
              <w:rPr>
                <w:rFonts w:eastAsia="黑体"/>
                <w:sz w:val="28"/>
                <w:szCs w:val="32"/>
              </w:rPr>
            </w:pPr>
            <w:r>
              <w:rPr>
                <w:rFonts w:eastAsia="黑体"/>
                <w:sz w:val="28"/>
                <w:szCs w:val="32"/>
              </w:rPr>
              <w:t>法定代表人</w:t>
            </w:r>
          </w:p>
          <w:p>
            <w:pPr>
              <w:widowControl/>
              <w:spacing w:line="420" w:lineRule="exact"/>
              <w:jc w:val="center"/>
              <w:rPr>
                <w:rFonts w:eastAsia="黑体"/>
                <w:sz w:val="28"/>
                <w:szCs w:val="32"/>
              </w:rPr>
            </w:pPr>
            <w:r>
              <w:rPr>
                <w:rFonts w:hint="eastAsia" w:eastAsia="黑体"/>
                <w:sz w:val="28"/>
                <w:szCs w:val="32"/>
              </w:rPr>
              <w:t>或</w:t>
            </w:r>
            <w:r>
              <w:rPr>
                <w:rFonts w:eastAsia="黑体"/>
                <w:sz w:val="28"/>
                <w:szCs w:val="32"/>
              </w:rPr>
              <w:t>授权代表</w:t>
            </w:r>
          </w:p>
        </w:tc>
        <w:tc>
          <w:tcPr>
            <w:tcW w:w="6295" w:type="dxa"/>
            <w:tcBorders>
              <w:top w:val="nil"/>
              <w:left w:val="nil"/>
              <w:bottom w:val="single" w:color="auto" w:sz="4" w:space="0"/>
              <w:right w:val="single" w:color="auto" w:sz="4" w:space="0"/>
            </w:tcBorders>
            <w:noWrap w:val="0"/>
            <w:vAlign w:val="center"/>
          </w:tcPr>
          <w:p>
            <w:pPr>
              <w:widowControl/>
              <w:rPr>
                <w:rFonts w:eastAsia="楷体"/>
                <w:sz w:val="32"/>
                <w:szCs w:val="32"/>
              </w:rPr>
            </w:pPr>
            <w:r>
              <w:rPr>
                <w:rFonts w:eastAsia="楷体"/>
                <w:sz w:val="32"/>
                <w:szCs w:val="32"/>
              </w:rPr>
              <w:t>姓名：               职务：</w:t>
            </w:r>
          </w:p>
        </w:tc>
      </w:tr>
      <w:tr>
        <w:tblPrEx>
          <w:tblCellMar>
            <w:top w:w="0" w:type="dxa"/>
            <w:left w:w="108" w:type="dxa"/>
            <w:bottom w:w="0" w:type="dxa"/>
            <w:right w:w="108" w:type="dxa"/>
          </w:tblCellMar>
        </w:tblPrEx>
        <w:trPr>
          <w:trHeight w:val="571" w:hRule="exact"/>
          <w:jc w:val="center"/>
        </w:trPr>
        <w:tc>
          <w:tcPr>
            <w:tcW w:w="2884" w:type="dxa"/>
            <w:vMerge w:val="continue"/>
            <w:tcBorders>
              <w:left w:val="single" w:color="auto" w:sz="4" w:space="0"/>
              <w:right w:val="single" w:color="auto" w:sz="4" w:space="0"/>
            </w:tcBorders>
            <w:noWrap w:val="0"/>
            <w:vAlign w:val="center"/>
          </w:tcPr>
          <w:p>
            <w:pPr>
              <w:widowControl/>
              <w:jc w:val="center"/>
              <w:rPr>
                <w:rFonts w:eastAsia="黑体"/>
                <w:sz w:val="28"/>
                <w:szCs w:val="32"/>
              </w:rPr>
            </w:pPr>
          </w:p>
        </w:tc>
        <w:tc>
          <w:tcPr>
            <w:tcW w:w="6295" w:type="dxa"/>
            <w:tcBorders>
              <w:top w:val="single" w:color="auto" w:sz="4" w:space="0"/>
              <w:left w:val="nil"/>
              <w:right w:val="single" w:color="auto" w:sz="4" w:space="0"/>
            </w:tcBorders>
            <w:noWrap w:val="0"/>
            <w:vAlign w:val="center"/>
          </w:tcPr>
          <w:p>
            <w:pPr>
              <w:rPr>
                <w:rFonts w:eastAsia="楷体"/>
                <w:sz w:val="32"/>
                <w:szCs w:val="32"/>
              </w:rPr>
            </w:pPr>
            <w:r>
              <w:rPr>
                <w:rFonts w:eastAsia="楷体"/>
                <w:bCs/>
                <w:sz w:val="32"/>
                <w:szCs w:val="32"/>
              </w:rPr>
              <w:t>电话：               传真：</w:t>
            </w:r>
          </w:p>
        </w:tc>
      </w:tr>
      <w:tr>
        <w:tblPrEx>
          <w:tblCellMar>
            <w:top w:w="0" w:type="dxa"/>
            <w:left w:w="108" w:type="dxa"/>
            <w:bottom w:w="0" w:type="dxa"/>
            <w:right w:w="108" w:type="dxa"/>
          </w:tblCellMar>
        </w:tblPrEx>
        <w:trPr>
          <w:trHeight w:val="459" w:hRule="exact"/>
          <w:jc w:val="center"/>
        </w:trPr>
        <w:tc>
          <w:tcPr>
            <w:tcW w:w="2884" w:type="dxa"/>
            <w:vMerge w:val="continue"/>
            <w:tcBorders>
              <w:left w:val="single" w:color="auto" w:sz="4" w:space="0"/>
              <w:right w:val="single" w:color="auto" w:sz="4" w:space="0"/>
            </w:tcBorders>
            <w:noWrap w:val="0"/>
            <w:vAlign w:val="center"/>
          </w:tcPr>
          <w:p>
            <w:pPr>
              <w:widowControl/>
              <w:rPr>
                <w:rFonts w:eastAsia="黑体"/>
                <w:sz w:val="28"/>
                <w:szCs w:val="32"/>
              </w:rPr>
            </w:pPr>
          </w:p>
        </w:tc>
        <w:tc>
          <w:tcPr>
            <w:tcW w:w="6295" w:type="dxa"/>
            <w:tcBorders>
              <w:top w:val="single" w:color="auto" w:sz="4" w:space="0"/>
              <w:left w:val="nil"/>
              <w:right w:val="single" w:color="auto" w:sz="4" w:space="0"/>
            </w:tcBorders>
            <w:noWrap w:val="0"/>
            <w:vAlign w:val="center"/>
          </w:tcPr>
          <w:p>
            <w:pPr>
              <w:rPr>
                <w:rFonts w:eastAsia="楷体"/>
                <w:bCs/>
                <w:sz w:val="32"/>
                <w:szCs w:val="32"/>
              </w:rPr>
            </w:pPr>
            <w:r>
              <w:rPr>
                <w:rFonts w:eastAsia="楷体"/>
                <w:sz w:val="32"/>
                <w:szCs w:val="32"/>
              </w:rPr>
              <w:t>身份证号：</w:t>
            </w:r>
          </w:p>
        </w:tc>
      </w:tr>
      <w:tr>
        <w:tblPrEx>
          <w:tblCellMar>
            <w:top w:w="0" w:type="dxa"/>
            <w:left w:w="108" w:type="dxa"/>
            <w:bottom w:w="0" w:type="dxa"/>
            <w:right w:w="108" w:type="dxa"/>
          </w:tblCellMar>
        </w:tblPrEx>
        <w:trPr>
          <w:trHeight w:val="651"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sz w:val="28"/>
                <w:szCs w:val="32"/>
              </w:rPr>
            </w:pPr>
            <w:r>
              <w:rPr>
                <w:rFonts w:eastAsia="黑体"/>
                <w:sz w:val="28"/>
                <w:szCs w:val="32"/>
              </w:rPr>
              <w:t>开户名称</w:t>
            </w:r>
          </w:p>
        </w:tc>
        <w:tc>
          <w:tcPr>
            <w:tcW w:w="6295" w:type="dxa"/>
            <w:tcBorders>
              <w:top w:val="single" w:color="auto" w:sz="4" w:space="0"/>
              <w:left w:val="nil"/>
              <w:bottom w:val="single" w:color="auto" w:sz="4" w:space="0"/>
              <w:right w:val="single" w:color="auto" w:sz="4" w:space="0"/>
            </w:tcBorders>
            <w:noWrap w:val="0"/>
            <w:vAlign w:val="center"/>
          </w:tcPr>
          <w:p>
            <w:pPr>
              <w:widowControl/>
              <w:rPr>
                <w:rFonts w:eastAsia="楷体"/>
                <w:sz w:val="32"/>
                <w:szCs w:val="32"/>
              </w:rPr>
            </w:pPr>
          </w:p>
        </w:tc>
      </w:tr>
      <w:tr>
        <w:tblPrEx>
          <w:tblCellMar>
            <w:top w:w="0" w:type="dxa"/>
            <w:left w:w="108" w:type="dxa"/>
            <w:bottom w:w="0" w:type="dxa"/>
            <w:right w:w="108" w:type="dxa"/>
          </w:tblCellMar>
        </w:tblPrEx>
        <w:trPr>
          <w:trHeight w:val="651"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sz w:val="28"/>
                <w:szCs w:val="32"/>
              </w:rPr>
            </w:pPr>
            <w:r>
              <w:rPr>
                <w:rFonts w:eastAsia="黑体"/>
                <w:sz w:val="28"/>
                <w:szCs w:val="32"/>
              </w:rPr>
              <w:t>开户银行</w:t>
            </w:r>
          </w:p>
        </w:tc>
        <w:tc>
          <w:tcPr>
            <w:tcW w:w="6295" w:type="dxa"/>
            <w:tcBorders>
              <w:top w:val="single" w:color="auto" w:sz="4" w:space="0"/>
              <w:left w:val="nil"/>
              <w:bottom w:val="single" w:color="auto" w:sz="4" w:space="0"/>
              <w:right w:val="single" w:color="auto" w:sz="4" w:space="0"/>
            </w:tcBorders>
            <w:noWrap w:val="0"/>
            <w:vAlign w:val="center"/>
          </w:tcPr>
          <w:p>
            <w:pPr>
              <w:widowControl/>
              <w:rPr>
                <w:rFonts w:eastAsia="楷体"/>
                <w:sz w:val="32"/>
                <w:szCs w:val="32"/>
              </w:rPr>
            </w:pPr>
          </w:p>
        </w:tc>
      </w:tr>
      <w:tr>
        <w:tblPrEx>
          <w:tblCellMar>
            <w:top w:w="0" w:type="dxa"/>
            <w:left w:w="108" w:type="dxa"/>
            <w:bottom w:w="0" w:type="dxa"/>
            <w:right w:w="108" w:type="dxa"/>
          </w:tblCellMar>
        </w:tblPrEx>
        <w:trPr>
          <w:trHeight w:val="651"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sz w:val="28"/>
                <w:szCs w:val="32"/>
              </w:rPr>
            </w:pPr>
            <w:r>
              <w:rPr>
                <w:rFonts w:eastAsia="黑体"/>
                <w:sz w:val="28"/>
                <w:szCs w:val="32"/>
              </w:rPr>
              <w:t>银行账号</w:t>
            </w:r>
          </w:p>
        </w:tc>
        <w:tc>
          <w:tcPr>
            <w:tcW w:w="6295" w:type="dxa"/>
            <w:tcBorders>
              <w:top w:val="single" w:color="auto" w:sz="4" w:space="0"/>
              <w:left w:val="nil"/>
              <w:bottom w:val="single" w:color="auto" w:sz="4" w:space="0"/>
              <w:right w:val="single" w:color="auto" w:sz="4" w:space="0"/>
            </w:tcBorders>
            <w:noWrap w:val="0"/>
            <w:vAlign w:val="center"/>
          </w:tcPr>
          <w:p>
            <w:pPr>
              <w:widowControl/>
              <w:rPr>
                <w:rFonts w:eastAsia="楷体"/>
                <w:sz w:val="32"/>
                <w:szCs w:val="32"/>
              </w:rPr>
            </w:pPr>
          </w:p>
        </w:tc>
      </w:tr>
      <w:tr>
        <w:tblPrEx>
          <w:tblCellMar>
            <w:top w:w="0" w:type="dxa"/>
            <w:left w:w="108" w:type="dxa"/>
            <w:bottom w:w="0" w:type="dxa"/>
            <w:right w:w="108" w:type="dxa"/>
          </w:tblCellMar>
        </w:tblPrEx>
        <w:trPr>
          <w:trHeight w:val="896"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eastAsia="黑体"/>
                <w:sz w:val="28"/>
                <w:szCs w:val="32"/>
              </w:rPr>
            </w:pPr>
            <w:r>
              <w:rPr>
                <w:rFonts w:eastAsia="黑体"/>
                <w:sz w:val="28"/>
                <w:szCs w:val="32"/>
              </w:rPr>
              <w:t>开户行所在</w:t>
            </w:r>
          </w:p>
          <w:p>
            <w:pPr>
              <w:widowControl/>
              <w:spacing w:line="420" w:lineRule="exact"/>
              <w:jc w:val="center"/>
              <w:rPr>
                <w:rFonts w:eastAsia="黑体"/>
                <w:sz w:val="28"/>
                <w:szCs w:val="32"/>
              </w:rPr>
            </w:pPr>
            <w:r>
              <w:rPr>
                <w:rFonts w:eastAsia="黑体"/>
                <w:sz w:val="28"/>
                <w:szCs w:val="32"/>
              </w:rPr>
              <w:t>省市区县</w:t>
            </w:r>
          </w:p>
        </w:tc>
        <w:tc>
          <w:tcPr>
            <w:tcW w:w="6295" w:type="dxa"/>
            <w:tcBorders>
              <w:top w:val="single" w:color="auto" w:sz="4" w:space="0"/>
              <w:left w:val="nil"/>
              <w:bottom w:val="single" w:color="auto" w:sz="4" w:space="0"/>
              <w:right w:val="single" w:color="auto" w:sz="4" w:space="0"/>
            </w:tcBorders>
            <w:noWrap w:val="0"/>
            <w:vAlign w:val="center"/>
          </w:tcPr>
          <w:p>
            <w:pPr>
              <w:widowControl/>
              <w:rPr>
                <w:rFonts w:eastAsia="楷体"/>
                <w:sz w:val="32"/>
                <w:szCs w:val="32"/>
              </w:rPr>
            </w:pPr>
          </w:p>
        </w:tc>
      </w:tr>
      <w:tr>
        <w:tblPrEx>
          <w:tblCellMar>
            <w:top w:w="0" w:type="dxa"/>
            <w:left w:w="108" w:type="dxa"/>
            <w:bottom w:w="0" w:type="dxa"/>
            <w:right w:w="108" w:type="dxa"/>
          </w:tblCellMar>
        </w:tblPrEx>
        <w:trPr>
          <w:trHeight w:val="855"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eastAsia="黑体"/>
                <w:sz w:val="28"/>
                <w:szCs w:val="32"/>
              </w:rPr>
            </w:pPr>
            <w:r>
              <w:rPr>
                <w:rFonts w:hint="eastAsia" w:eastAsia="黑体"/>
                <w:sz w:val="28"/>
                <w:szCs w:val="32"/>
              </w:rPr>
              <w:t>企业地址</w:t>
            </w:r>
          </w:p>
          <w:p>
            <w:pPr>
              <w:widowControl/>
              <w:spacing w:line="420" w:lineRule="exact"/>
              <w:jc w:val="center"/>
              <w:rPr>
                <w:rFonts w:eastAsia="黑体"/>
                <w:sz w:val="28"/>
                <w:szCs w:val="32"/>
              </w:rPr>
            </w:pPr>
            <w:r>
              <w:rPr>
                <w:rFonts w:hint="eastAsia" w:eastAsia="黑体"/>
                <w:sz w:val="28"/>
                <w:szCs w:val="32"/>
              </w:rPr>
              <w:t>（明确到区县）</w:t>
            </w:r>
          </w:p>
        </w:tc>
        <w:tc>
          <w:tcPr>
            <w:tcW w:w="6295" w:type="dxa"/>
            <w:tcBorders>
              <w:top w:val="single" w:color="auto" w:sz="4" w:space="0"/>
              <w:left w:val="nil"/>
              <w:bottom w:val="single" w:color="auto" w:sz="4" w:space="0"/>
              <w:right w:val="single" w:color="auto" w:sz="4" w:space="0"/>
            </w:tcBorders>
            <w:noWrap w:val="0"/>
            <w:vAlign w:val="center"/>
          </w:tcPr>
          <w:p>
            <w:pPr>
              <w:widowControl/>
              <w:rPr>
                <w:rFonts w:eastAsia="楷体"/>
                <w:sz w:val="32"/>
                <w:szCs w:val="32"/>
              </w:rPr>
            </w:pPr>
          </w:p>
        </w:tc>
      </w:tr>
      <w:tr>
        <w:tblPrEx>
          <w:tblCellMar>
            <w:top w:w="0" w:type="dxa"/>
            <w:left w:w="108" w:type="dxa"/>
            <w:bottom w:w="0" w:type="dxa"/>
            <w:right w:w="108" w:type="dxa"/>
          </w:tblCellMar>
        </w:tblPrEx>
        <w:trPr>
          <w:trHeight w:val="651"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黑体"/>
                <w:sz w:val="28"/>
                <w:szCs w:val="32"/>
              </w:rPr>
            </w:pPr>
            <w:r>
              <w:rPr>
                <w:rFonts w:eastAsia="黑体"/>
                <w:sz w:val="28"/>
                <w:szCs w:val="32"/>
              </w:rPr>
              <w:t>邮政编码</w:t>
            </w:r>
          </w:p>
        </w:tc>
        <w:tc>
          <w:tcPr>
            <w:tcW w:w="6295" w:type="dxa"/>
            <w:tcBorders>
              <w:top w:val="single" w:color="auto" w:sz="4" w:space="0"/>
              <w:left w:val="nil"/>
              <w:bottom w:val="single" w:color="auto" w:sz="4" w:space="0"/>
              <w:right w:val="single" w:color="auto" w:sz="4" w:space="0"/>
            </w:tcBorders>
            <w:noWrap w:val="0"/>
            <w:vAlign w:val="center"/>
          </w:tcPr>
          <w:p>
            <w:pPr>
              <w:widowControl/>
              <w:spacing w:line="360" w:lineRule="exact"/>
              <w:rPr>
                <w:rFonts w:eastAsia="楷体"/>
                <w:sz w:val="32"/>
                <w:szCs w:val="32"/>
              </w:rPr>
            </w:pPr>
          </w:p>
        </w:tc>
      </w:tr>
      <w:tr>
        <w:tblPrEx>
          <w:tblCellMar>
            <w:top w:w="0" w:type="dxa"/>
            <w:left w:w="108" w:type="dxa"/>
            <w:bottom w:w="0" w:type="dxa"/>
            <w:right w:w="108" w:type="dxa"/>
          </w:tblCellMar>
        </w:tblPrEx>
        <w:trPr>
          <w:trHeight w:val="651"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黑体"/>
                <w:sz w:val="28"/>
                <w:szCs w:val="32"/>
              </w:rPr>
            </w:pPr>
            <w:r>
              <w:rPr>
                <w:rFonts w:eastAsia="黑体"/>
                <w:sz w:val="28"/>
                <w:szCs w:val="32"/>
              </w:rPr>
              <w:t>电子邮箱</w:t>
            </w:r>
            <w:r>
              <w:rPr>
                <w:rFonts w:hint="eastAsia" w:eastAsia="黑体"/>
                <w:sz w:val="28"/>
                <w:szCs w:val="32"/>
              </w:rPr>
              <w:t>/</w:t>
            </w:r>
            <w:r>
              <w:rPr>
                <w:rFonts w:hint="eastAsia" w:eastAsia="黑体"/>
                <w:b/>
                <w:sz w:val="28"/>
                <w:szCs w:val="32"/>
              </w:rPr>
              <w:t>传真</w:t>
            </w:r>
          </w:p>
        </w:tc>
        <w:tc>
          <w:tcPr>
            <w:tcW w:w="6295" w:type="dxa"/>
            <w:tcBorders>
              <w:top w:val="single" w:color="auto" w:sz="4" w:space="0"/>
              <w:left w:val="nil"/>
              <w:bottom w:val="single" w:color="auto" w:sz="4" w:space="0"/>
              <w:right w:val="single" w:color="auto" w:sz="4" w:space="0"/>
            </w:tcBorders>
            <w:noWrap w:val="0"/>
            <w:vAlign w:val="center"/>
          </w:tcPr>
          <w:p>
            <w:pPr>
              <w:widowControl/>
              <w:spacing w:line="360" w:lineRule="exact"/>
              <w:rPr>
                <w:rFonts w:eastAsia="楷体"/>
                <w:sz w:val="32"/>
                <w:szCs w:val="32"/>
              </w:rPr>
            </w:pPr>
            <w:r>
              <w:rPr>
                <w:rFonts w:eastAsia="楷体"/>
                <w:sz w:val="32"/>
                <w:szCs w:val="32"/>
              </w:rPr>
              <w:t>邮箱：</w:t>
            </w:r>
            <w:r>
              <w:rPr>
                <w:rFonts w:hint="eastAsia" w:eastAsia="楷体"/>
                <w:sz w:val="32"/>
                <w:szCs w:val="32"/>
              </w:rPr>
              <w:t xml:space="preserve">           </w:t>
            </w:r>
            <w:r>
              <w:rPr>
                <w:rFonts w:hint="eastAsia" w:eastAsia="楷体"/>
                <w:b/>
                <w:sz w:val="32"/>
                <w:szCs w:val="32"/>
              </w:rPr>
              <w:t>传真：</w:t>
            </w:r>
          </w:p>
        </w:tc>
      </w:tr>
      <w:tr>
        <w:tblPrEx>
          <w:tblCellMar>
            <w:top w:w="0" w:type="dxa"/>
            <w:left w:w="108" w:type="dxa"/>
            <w:bottom w:w="0" w:type="dxa"/>
            <w:right w:w="108" w:type="dxa"/>
          </w:tblCellMar>
        </w:tblPrEx>
        <w:trPr>
          <w:trHeight w:val="2198"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黑体"/>
                <w:sz w:val="32"/>
                <w:szCs w:val="32"/>
              </w:rPr>
            </w:pPr>
            <w:r>
              <w:rPr>
                <w:rFonts w:eastAsia="黑体"/>
                <w:sz w:val="32"/>
                <w:szCs w:val="32"/>
              </w:rPr>
              <w:t>备    注</w:t>
            </w:r>
          </w:p>
        </w:tc>
        <w:tc>
          <w:tcPr>
            <w:tcW w:w="62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tabs>
                <w:tab w:val="left" w:pos="312"/>
              </w:tabs>
              <w:kinsoku/>
              <w:wordWrap/>
              <w:overflowPunct/>
              <w:topLinePunct w:val="0"/>
              <w:autoSpaceDE/>
              <w:autoSpaceDN/>
              <w:bidi w:val="0"/>
              <w:adjustRightInd/>
              <w:snapToGrid/>
              <w:spacing w:line="360" w:lineRule="auto"/>
              <w:ind w:left="0" w:leftChars="0"/>
              <w:textAlignment w:val="auto"/>
              <w:rPr>
                <w:rFonts w:hint="eastAsia" w:ascii="宋体" w:hAnsi="宋体" w:eastAsia="宋体" w:cs="宋体"/>
              </w:rPr>
            </w:pPr>
            <w:r>
              <w:rPr>
                <w:rFonts w:hint="eastAsia" w:ascii="宋体" w:hAnsi="宋体" w:eastAsia="宋体" w:cs="宋体"/>
              </w:rPr>
              <w:t>1.所提供的银行相关信息要与</w:t>
            </w:r>
            <w:r>
              <w:rPr>
                <w:rFonts w:hint="eastAsia" w:ascii="宋体" w:hAnsi="宋体" w:eastAsia="宋体" w:cs="宋体"/>
                <w:lang w:eastAsia="zh-CN"/>
              </w:rPr>
              <w:t>谈判</w:t>
            </w:r>
            <w:r>
              <w:rPr>
                <w:rFonts w:hint="eastAsia" w:ascii="宋体" w:hAnsi="宋体" w:eastAsia="宋体" w:cs="宋体"/>
              </w:rPr>
              <w:t>保证金汇款时的银行信息一致，且为</w:t>
            </w:r>
            <w:r>
              <w:rPr>
                <w:rFonts w:hint="eastAsia" w:ascii="宋体" w:hAnsi="宋体" w:eastAsia="宋体" w:cs="宋体"/>
                <w:lang w:eastAsia="zh-CN"/>
              </w:rPr>
              <w:t>报价</w:t>
            </w:r>
            <w:r>
              <w:rPr>
                <w:rFonts w:hint="eastAsia" w:ascii="宋体" w:hAnsi="宋体" w:eastAsia="宋体" w:cs="宋体"/>
              </w:rPr>
              <w:t>人银行账户信息。</w:t>
            </w:r>
          </w:p>
          <w:p>
            <w:pPr>
              <w:pStyle w:val="43"/>
              <w:keepNext w:val="0"/>
              <w:keepLines w:val="0"/>
              <w:pageBreakBefore w:val="0"/>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rPr>
            </w:pPr>
            <w:r>
              <w:rPr>
                <w:rFonts w:hint="eastAsia" w:ascii="宋体" w:hAnsi="宋体" w:eastAsia="宋体" w:cs="宋体"/>
              </w:rPr>
              <w:t>2.按照申领采购文件时需提供资料的要求顺序装订。</w:t>
            </w:r>
          </w:p>
        </w:tc>
      </w:tr>
      <w:bookmarkEnd w:id="632"/>
    </w:tbl>
    <w:p>
      <w:pPr>
        <w:rPr>
          <w:rFonts w:hint="eastAsia" w:ascii="方正小标宋简体" w:hAnsi="宋体" w:eastAsia="方正小标宋简体"/>
          <w:sz w:val="44"/>
          <w:szCs w:val="44"/>
        </w:rPr>
      </w:pPr>
      <w:bookmarkStart w:id="634" w:name="_Toc32632"/>
      <w:bookmarkStart w:id="635" w:name="_Toc26105"/>
      <w:r>
        <w:rPr>
          <w:rFonts w:hint="eastAsia" w:ascii="方正小标宋简体" w:hAnsi="宋体" w:eastAsia="方正小标宋简体"/>
          <w:sz w:val="44"/>
          <w:szCs w:val="44"/>
        </w:rPr>
        <w:br w:type="page"/>
      </w:r>
    </w:p>
    <w:p>
      <w:pPr>
        <w:jc w:val="left"/>
        <w:outlineLvl w:val="3"/>
        <w:rPr>
          <w:rFonts w:hint="eastAsia" w:eastAsia="方正小标宋简体"/>
          <w:bCs/>
          <w:sz w:val="44"/>
          <w:szCs w:val="44"/>
        </w:rPr>
      </w:pPr>
      <w:r>
        <w:rPr>
          <w:rFonts w:hint="eastAsia" w:eastAsia="方正小标宋简体"/>
          <w:bCs/>
          <w:sz w:val="44"/>
          <w:szCs w:val="44"/>
        </w:rPr>
        <w:t>附录1：</w:t>
      </w:r>
      <w:bookmarkEnd w:id="634"/>
      <w:bookmarkEnd w:id="635"/>
    </w:p>
    <w:p>
      <w:pPr>
        <w:pStyle w:val="16"/>
        <w:rPr>
          <w:rFonts w:hint="eastAsia"/>
        </w:rPr>
      </w:pPr>
    </w:p>
    <w:p>
      <w:pPr>
        <w:rPr>
          <w:rFonts w:hint="eastAsia" w:ascii="宋体" w:hAnsi="宋体" w:eastAsia="宋体" w:cs="Times New Roman"/>
          <w:b w:val="0"/>
          <w:bCs/>
          <w:kern w:val="0"/>
          <w:sz w:val="28"/>
          <w:szCs w:val="28"/>
          <w:highlight w:val="none"/>
          <w:lang w:val="zh-CN" w:eastAsia="zh-CN" w:bidi="ar-SA"/>
        </w:rPr>
      </w:pPr>
      <w:bookmarkStart w:id="636" w:name="_Toc11694"/>
      <w:bookmarkStart w:id="637" w:name="_Toc10433"/>
      <w:r>
        <w:rPr>
          <w:rFonts w:hint="eastAsia" w:ascii="宋体" w:hAnsi="宋体" w:eastAsia="宋体" w:cs="Times New Roman"/>
          <w:b w:val="0"/>
          <w:bCs/>
          <w:kern w:val="0"/>
          <w:sz w:val="28"/>
          <w:szCs w:val="28"/>
          <w:highlight w:val="none"/>
          <w:lang w:val="zh-CN" w:eastAsia="zh-CN" w:bidi="ar-SA"/>
        </w:rPr>
        <w:t>营业执照或事业单位法人证书复印件加盖公章(军队单位不需要提供)。</w:t>
      </w:r>
      <w:bookmarkEnd w:id="636"/>
      <w:bookmarkEnd w:id="637"/>
    </w:p>
    <w:p>
      <w:pPr>
        <w:rPr>
          <w:rFonts w:hint="eastAsia" w:ascii="宋体" w:hAnsi="宋体" w:eastAsia="宋体" w:cs="Times New Roman"/>
          <w:b w:val="0"/>
          <w:bCs/>
          <w:kern w:val="0"/>
          <w:sz w:val="28"/>
          <w:szCs w:val="28"/>
          <w:highlight w:val="none"/>
          <w:lang w:val="zh-CN" w:eastAsia="zh-CN" w:bidi="ar-SA"/>
        </w:rPr>
      </w:pPr>
      <w:r>
        <w:rPr>
          <w:rFonts w:hint="eastAsia" w:ascii="宋体" w:hAnsi="宋体" w:eastAsia="宋体" w:cs="Times New Roman"/>
          <w:b w:val="0"/>
          <w:bCs/>
          <w:kern w:val="0"/>
          <w:sz w:val="28"/>
          <w:szCs w:val="28"/>
          <w:highlight w:val="none"/>
          <w:lang w:val="en-US" w:eastAsia="zh-CN" w:bidi="ar-SA"/>
        </w:rPr>
        <w:t>注：由</w:t>
      </w:r>
      <w:r>
        <w:rPr>
          <w:rFonts w:hint="eastAsia" w:ascii="宋体" w:hAnsi="宋体" w:cs="Times New Roman"/>
          <w:b w:val="0"/>
          <w:bCs/>
          <w:kern w:val="0"/>
          <w:sz w:val="28"/>
          <w:szCs w:val="28"/>
          <w:highlight w:val="none"/>
          <w:lang w:val="zh-CN" w:eastAsia="zh-CN" w:bidi="ar-SA"/>
        </w:rPr>
        <w:t>报价</w:t>
      </w:r>
      <w:r>
        <w:rPr>
          <w:rFonts w:hint="eastAsia" w:ascii="宋体" w:hAnsi="宋体" w:eastAsia="宋体" w:cs="Times New Roman"/>
          <w:b w:val="0"/>
          <w:bCs/>
          <w:kern w:val="0"/>
          <w:sz w:val="28"/>
          <w:szCs w:val="28"/>
          <w:highlight w:val="none"/>
          <w:lang w:val="zh-CN" w:eastAsia="zh-CN" w:bidi="ar-SA"/>
        </w:rPr>
        <w:t>人（供应商）自行提供。</w:t>
      </w:r>
    </w:p>
    <w:p>
      <w:pPr>
        <w:rPr>
          <w:rFonts w:hint="eastAsia"/>
        </w:rPr>
      </w:pPr>
    </w:p>
    <w:p>
      <w:pPr>
        <w:outlineLvl w:val="3"/>
      </w:pPr>
      <w:r>
        <w:rPr>
          <w:rFonts w:hint="eastAsia"/>
        </w:rPr>
        <w:br w:type="page"/>
      </w:r>
      <w:bookmarkStart w:id="638" w:name="_Toc19505"/>
      <w:bookmarkStart w:id="639" w:name="_Toc20284"/>
      <w:r>
        <w:rPr>
          <w:rFonts w:hint="eastAsia" w:ascii="Times New Roman" w:hAnsi="Times New Roman" w:eastAsia="方正小标宋简体" w:cs="Times New Roman"/>
          <w:b w:val="0"/>
          <w:bCs/>
          <w:kern w:val="2"/>
          <w:sz w:val="44"/>
          <w:szCs w:val="44"/>
          <w:lang w:val="en-US" w:eastAsia="zh-CN" w:bidi="ar-SA"/>
        </w:rPr>
        <w:t>附录2：</w:t>
      </w:r>
      <w:bookmarkEnd w:id="633"/>
      <w:bookmarkEnd w:id="638"/>
      <w:bookmarkEnd w:id="639"/>
    </w:p>
    <w:p>
      <w:pPr>
        <w:jc w:val="center"/>
        <w:outlineLvl w:val="9"/>
        <w:rPr>
          <w:rFonts w:eastAsia="方正小标宋简体"/>
          <w:bCs/>
          <w:sz w:val="44"/>
        </w:rPr>
      </w:pPr>
      <w:bookmarkStart w:id="640" w:name="_Toc23092"/>
      <w:r>
        <w:rPr>
          <w:rFonts w:eastAsia="方正小标宋简体"/>
          <w:bCs/>
          <w:sz w:val="44"/>
        </w:rPr>
        <w:t>法定代表人资格证明书</w:t>
      </w:r>
      <w:bookmarkEnd w:id="640"/>
    </w:p>
    <w:p>
      <w:pPr>
        <w:jc w:val="center"/>
        <w:rPr>
          <w:rFonts w:eastAsia="华文中宋"/>
          <w:bCs/>
          <w:sz w:val="44"/>
        </w:rPr>
      </w:pPr>
    </w:p>
    <w:p>
      <w:pPr>
        <w:ind w:firstLine="560" w:firstLineChars="200"/>
        <w:rPr>
          <w:rFonts w:eastAsia="楷体_GB2312"/>
          <w:sz w:val="28"/>
          <w:szCs w:val="28"/>
        </w:rPr>
      </w:pPr>
    </w:p>
    <w:p>
      <w:pPr>
        <w:ind w:firstLine="560" w:firstLineChars="200"/>
        <w:rPr>
          <w:sz w:val="28"/>
          <w:szCs w:val="28"/>
        </w:rPr>
      </w:pPr>
      <w:r>
        <w:rPr>
          <w:sz w:val="28"/>
          <w:szCs w:val="28"/>
          <w:u w:val="single"/>
        </w:rPr>
        <w:t>（法定代表人姓名）</w:t>
      </w:r>
      <w:r>
        <w:rPr>
          <w:sz w:val="28"/>
          <w:szCs w:val="28"/>
        </w:rPr>
        <w:t>系</w:t>
      </w:r>
      <w:r>
        <w:rPr>
          <w:sz w:val="28"/>
          <w:szCs w:val="28"/>
          <w:u w:val="single"/>
        </w:rPr>
        <w:t>（</w:t>
      </w:r>
      <w:r>
        <w:rPr>
          <w:rFonts w:hint="eastAsia"/>
          <w:sz w:val="28"/>
          <w:szCs w:val="28"/>
          <w:u w:val="single"/>
          <w:lang w:eastAsia="zh-CN"/>
        </w:rPr>
        <w:t>报价</w:t>
      </w:r>
      <w:r>
        <w:rPr>
          <w:sz w:val="28"/>
          <w:szCs w:val="28"/>
          <w:u w:val="single"/>
        </w:rPr>
        <w:t>供应商全称）</w:t>
      </w:r>
      <w:r>
        <w:rPr>
          <w:sz w:val="28"/>
          <w:szCs w:val="28"/>
        </w:rPr>
        <w:t>的法定代表人。</w:t>
      </w:r>
    </w:p>
    <w:p>
      <w:pPr>
        <w:ind w:firstLine="560" w:firstLineChars="200"/>
        <w:rPr>
          <w:sz w:val="28"/>
          <w:szCs w:val="28"/>
        </w:rPr>
      </w:pPr>
    </w:p>
    <w:p>
      <w:pPr>
        <w:ind w:firstLine="560" w:firstLineChars="200"/>
        <w:rPr>
          <w:sz w:val="28"/>
          <w:szCs w:val="28"/>
        </w:rPr>
      </w:pPr>
      <w:r>
        <w:rPr>
          <w:sz w:val="28"/>
          <w:szCs w:val="28"/>
        </w:rPr>
        <w:t>特此证明</w:t>
      </w:r>
    </w:p>
    <w:p>
      <w:pPr>
        <w:rPr>
          <w:sz w:val="28"/>
          <w:szCs w:val="28"/>
        </w:rPr>
      </w:pPr>
      <w:r>
        <mc:AlternateContent>
          <mc:Choice Requires="wps">
            <w:drawing>
              <wp:anchor distT="0" distB="0" distL="114300" distR="114300" simplePos="0" relativeHeight="251673600" behindDoc="0" locked="0" layoutInCell="1" allowOverlap="1">
                <wp:simplePos x="0" y="0"/>
                <wp:positionH relativeFrom="column">
                  <wp:posOffset>349885</wp:posOffset>
                </wp:positionH>
                <wp:positionV relativeFrom="paragraph">
                  <wp:posOffset>71755</wp:posOffset>
                </wp:positionV>
                <wp:extent cx="2240915" cy="1125855"/>
                <wp:effectExtent l="4445" t="4445" r="17780" b="18415"/>
                <wp:wrapNone/>
                <wp:docPr id="8" name="文本框 8"/>
                <wp:cNvGraphicFramePr/>
                <a:graphic xmlns:a="http://schemas.openxmlformats.org/drawingml/2006/main">
                  <a:graphicData uri="http://schemas.microsoft.com/office/word/2010/wordprocessingShape">
                    <wps:wsp>
                      <wps:cNvSpPr txBox="1"/>
                      <wps:spPr>
                        <a:xfrm>
                          <a:off x="0" y="0"/>
                          <a:ext cx="2240915" cy="1125855"/>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w:t>
                            </w:r>
                            <w:r>
                              <w:rPr>
                                <w:rFonts w:hint="eastAsia" w:ascii="宋体" w:hAnsi="宋体"/>
                                <w:sz w:val="28"/>
                                <w:szCs w:val="28"/>
                                <w:lang w:val="en-US" w:eastAsia="zh-CN"/>
                              </w:rPr>
                              <w:t>正面</w:t>
                            </w:r>
                            <w:r>
                              <w:rPr>
                                <w:rFonts w:hint="eastAsia" w:ascii="宋体" w:hAnsi="宋体"/>
                                <w:sz w:val="28"/>
                                <w:szCs w:val="28"/>
                              </w:rPr>
                              <w:t>）</w:t>
                            </w:r>
                          </w:p>
                        </w:txbxContent>
                      </wps:txbx>
                      <wps:bodyPr anchor="ctr" anchorCtr="0" upright="1"/>
                    </wps:wsp>
                  </a:graphicData>
                </a:graphic>
              </wp:anchor>
            </w:drawing>
          </mc:Choice>
          <mc:Fallback>
            <w:pict>
              <v:shape id="_x0000_s1026" o:spid="_x0000_s1026" o:spt="202" type="#_x0000_t202" style="position:absolute;left:0pt;margin-left:27.55pt;margin-top:5.65pt;height:88.65pt;width:176.45pt;z-index:251673600;v-text-anchor:middle;mso-width-relative:page;mso-height-relative:page;" fillcolor="#FFFFFF" filled="t" stroked="t" coordsize="21600,21600" o:gfxdata="UEsDBAoAAAAAAIdO4kAAAAAAAAAAAAAAAAAEAAAAZHJzL1BLAwQUAAAACACHTuJANvUrQdQAAAAJ&#10;AQAADwAAAGRycy9kb3ducmV2LnhtbE2PzU7DMBCE70i8g7VI3KhtoJEJcXoAtUckUh7AiZckqn+i&#10;2P0hT9/lBMedGc1+U20u3rETzmmMQYNcCWAYumjH0Gv42m8fFLCUTbDGxYAafjDBpr69qUxp4zl8&#10;4qnJPaOSkEqjYch5KjlP3YDepFWcMJD3HWdvMp1zz+1szlTuHX8UouDejIE+DGbCtwG7Q3P0Gj5e&#10;FPbLe+rEYdv4Xbu4tBRS6/s7KV6BZbzkvzD84hM61MTUxmOwiTkN67WkJOnyCRj5z0LRtpYEpQrg&#10;dcX/L6ivUEsDBBQAAAAIAIdO4kCbJ96zHwIAAF8EAAAOAAAAZHJzL2Uyb0RvYy54bWytVM2O0zAQ&#10;viPxDpbvND8iqBs1XYkt5YIAaZcHcG0nseQ/2W6TvgC8AScu3HmuPgdjJ1u6C4ceyCH5bI+/mflm&#10;JqvbUUl04M4LoxtcLHKMuKaGCd01+MvD9tUSIx+IZkQazRt85B7frl++WA225qXpjWTcISDRvh5s&#10;g/sQbJ1lnvZcEb8wlms4bI1TJMDSdRlzZAB2JbMyz99kg3HMOkO597C7mQ7xzOiuITRtKyjfGLpX&#10;XIeJ1XFJAqTke2E9Xqdo25bT8KltPQ9INhgyDekNTgDv4jtbr0jdOWJ7QecQyDUhPMtJEaHB6Zlq&#10;QwJBeyf+olKCOuNNGxbUqGxKJCkCWRT5M23ue2J5ygWk9vYsuv9/tPTj4bNDgjUYyq6JgoKfvn87&#10;/fh1+vkVLaM8g/U1WN1bsAvjWzNC0zzue9iMWY+tU/EL+SA4B3GPZ3H5GBCFzbJ8nd8UFUYUzoqi&#10;rJZVFXmyP9et8+E9NwpF0GAH1UuiksMHHybTR5PozRsp2FZImRau291Jhw4EKr1Nz8z+xExqNDT4&#10;pipjIATat4W2AagsSOB1l/w9ueEvifP0/Is4BrYhvp8CYICiFamVCNwl1HPC3mmGwtGCyhqGC8dY&#10;FGcYSQ6zGFGyDETIayxBOqmjE546fRYpFmwqTERh3I1AGuHOsCMUkWjaGxgBGhyeF3dhGom9daLr&#10;QfpU4Sxegr5LNZpnJDb25Rrw5X9h/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29StB1AAAAAkB&#10;AAAPAAAAAAAAAAEAIAAAACIAAABkcnMvZG93bnJldi54bWxQSwECFAAUAAAACACHTuJAmyfesx8C&#10;AABfBAAADgAAAAAAAAABACAAAAAjAQAAZHJzL2Uyb0RvYy54bWxQSwUGAAAAAAYABgBZAQAAtAUA&#10;AAAA&#10;">
                <v:fill on="t" focussize="0,0"/>
                <v:stroke color="#000000"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w:t>
                      </w:r>
                      <w:r>
                        <w:rPr>
                          <w:rFonts w:hint="eastAsia" w:ascii="宋体" w:hAnsi="宋体"/>
                          <w:sz w:val="28"/>
                          <w:szCs w:val="28"/>
                          <w:lang w:val="en-US" w:eastAsia="zh-CN"/>
                        </w:rPr>
                        <w:t>正面</w:t>
                      </w:r>
                      <w:r>
                        <w:rPr>
                          <w:rFonts w:hint="eastAsia" w:ascii="宋体" w:hAnsi="宋体"/>
                          <w:sz w:val="28"/>
                          <w:szCs w:val="28"/>
                        </w:rPr>
                        <w:t>）</w:t>
                      </w:r>
                    </w:p>
                  </w:txbxContent>
                </v:textbox>
              </v:shape>
            </w:pict>
          </mc:Fallback>
        </mc:AlternateContent>
      </w:r>
      <w:r>
        <w:rPr>
          <w:sz w:val="28"/>
          <w:szCs w:val="28"/>
        </w:rPr>
        <mc:AlternateContent>
          <mc:Choice Requires="wps">
            <w:drawing>
              <wp:anchor distT="0" distB="0" distL="114300" distR="114300" simplePos="0" relativeHeight="251674624" behindDoc="0" locked="0" layoutInCell="1" allowOverlap="1">
                <wp:simplePos x="0" y="0"/>
                <wp:positionH relativeFrom="column">
                  <wp:posOffset>2895600</wp:posOffset>
                </wp:positionH>
                <wp:positionV relativeFrom="paragraph">
                  <wp:posOffset>63500</wp:posOffset>
                </wp:positionV>
                <wp:extent cx="2240915" cy="1125855"/>
                <wp:effectExtent l="4445" t="4445" r="17780" b="18415"/>
                <wp:wrapNone/>
                <wp:docPr id="9" name="文本框 9"/>
                <wp:cNvGraphicFramePr/>
                <a:graphic xmlns:a="http://schemas.openxmlformats.org/drawingml/2006/main">
                  <a:graphicData uri="http://schemas.microsoft.com/office/word/2010/wordprocessingShape">
                    <wps:wsp>
                      <wps:cNvSpPr txBox="1"/>
                      <wps:spPr>
                        <a:xfrm>
                          <a:off x="0" y="0"/>
                          <a:ext cx="2240915" cy="1125855"/>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w:t>
                            </w:r>
                            <w:r>
                              <w:rPr>
                                <w:rFonts w:hint="eastAsia" w:ascii="宋体" w:hAnsi="宋体"/>
                                <w:sz w:val="28"/>
                                <w:szCs w:val="28"/>
                                <w:lang w:val="en-US" w:eastAsia="zh-CN"/>
                              </w:rPr>
                              <w:t>反面</w:t>
                            </w:r>
                            <w:r>
                              <w:rPr>
                                <w:rFonts w:hint="eastAsia" w:ascii="宋体" w:hAnsi="宋体"/>
                                <w:sz w:val="28"/>
                                <w:szCs w:val="28"/>
                              </w:rPr>
                              <w:t>）</w:t>
                            </w:r>
                          </w:p>
                        </w:txbxContent>
                      </wps:txbx>
                      <wps:bodyPr anchor="ctr" anchorCtr="0" upright="1"/>
                    </wps:wsp>
                  </a:graphicData>
                </a:graphic>
              </wp:anchor>
            </w:drawing>
          </mc:Choice>
          <mc:Fallback>
            <w:pict>
              <v:shape id="_x0000_s1026" o:spid="_x0000_s1026" o:spt="202" type="#_x0000_t202" style="position:absolute;left:0pt;margin-left:228pt;margin-top:5pt;height:88.65pt;width:176.45pt;z-index:251674624;v-text-anchor:middle;mso-width-relative:page;mso-height-relative:page;" fillcolor="#FFFFFF" filled="t" stroked="t" coordsize="21600,21600" o:gfxdata="UEsDBAoAAAAAAIdO4kAAAAAAAAAAAAAAAAAEAAAAZHJzL1BLAwQUAAAACACHTuJABPeeyNYAAAAK&#10;AQAADwAAAGRycy9kb3ducmV2LnhtbE2PzU7EMAyE70i8Q+SVuLFJ+SnZbtM9gJYjEoUHSBvTVts4&#10;VZP9oU+POcHJsmc0/qbcXfwoTjjHIZCBbK1AILXBDdQZ+PzY32oQMVlydgyEBr4xwq66vipt4cKZ&#10;3vFUp05wCMXCGuhTmgopY9ujt3EdJiTWvsLsbeJ17qSb7ZnD/SjvlMqltwPxh95O+Nxje6iP3sDb&#10;RmO3vMRWHfa1f22WMS55ZszNKlNbEAkv6c8Mv/iMDhUzNeFILorRwMNjzl0SC4onG7TSGxANH/TT&#10;PciqlP8rVD9QSwMEFAAAAAgAh07iQO71UI8fAgAAXwQAAA4AAABkcnMvZTJvRG9jLnhtbK1UzY7T&#10;MBC+I/EOlu80PyJoGzVdiS3lggBplwdwbSex5D/ZbpO+ALwBJy7cea4+B2MnW7oLhx7IIRnb42/m&#10;+2Ymq9tRSXTgzgujG1wscoy4poYJ3TX4y8P21Q1GPhDNiDSaN/jIPb5dv3yxGmzNS9MbybhDAKJ9&#10;PdgG9yHYOss87bkifmEs13DYGqdIgKXrMubIAOhKZmWev8kG45h1hnLvYXczHeIZ0V0DaNpWUL4x&#10;dK+4DhOq45IEoOR7YT1ep2zbltPwqW09D0g2GJiG9IYgYO/iO1uvSN05YntB5xTINSk846SI0BD0&#10;DLUhgaC9E39BKUGd8aYNC2pUNhFJigCLIn+mzX1PLE9cQGpvz6L7/wdLPx4+OyRYg5cYaaKg4Kfv&#10;304/fp1+fkXLKM9gfQ1e9xb8wvjWjNA0j/seNiPrsXUqfoEPgnMQ93gWl48BUdgsy9f5sqgwonBW&#10;FGV1U1URJ/tz3Tof3nOjUDQa7KB6SVRy+ODD5ProEqN5IwXbCinTwnW7O+nQgUClt+mZ0Z+4SY0G&#10;4FqVMREC7dtC24CpLEjgdZfiPbnhL4Hz9PwLOCa2Ib6fEmBgRS9SKxG4S1bPCXunGQpHCyprGC4c&#10;c1GcYSQ5zGK0kmcgQl7jCdJJHYPw1OmzSLFgU2GiFcbdCKDR3Bl2hCISTXsDI0CDw/PiLkwjsbdO&#10;dD1InyqcxUvQd6lG84zExr5cg335X1j/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AT3nsjWAAAA&#10;CgEAAA8AAAAAAAAAAQAgAAAAIgAAAGRycy9kb3ducmV2LnhtbFBLAQIUABQAAAAIAIdO4kDu9VCP&#10;HwIAAF8EAAAOAAAAAAAAAAEAIAAAACUBAABkcnMvZTJvRG9jLnhtbFBLBQYAAAAABgAGAFkBAAC2&#10;BQAAAAA=&#10;">
                <v:fill on="t" focussize="0,0"/>
                <v:stroke color="#000000"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w:t>
                      </w:r>
                      <w:r>
                        <w:rPr>
                          <w:rFonts w:hint="eastAsia" w:ascii="宋体" w:hAnsi="宋体"/>
                          <w:sz w:val="28"/>
                          <w:szCs w:val="28"/>
                          <w:lang w:val="en-US" w:eastAsia="zh-CN"/>
                        </w:rPr>
                        <w:t>反面</w:t>
                      </w:r>
                      <w:r>
                        <w:rPr>
                          <w:rFonts w:hint="eastAsia" w:ascii="宋体" w:hAnsi="宋体"/>
                          <w:sz w:val="28"/>
                          <w:szCs w:val="28"/>
                        </w:rPr>
                        <w:t>）</w:t>
                      </w:r>
                    </w:p>
                  </w:txbxContent>
                </v:textbox>
              </v:shape>
            </w:pict>
          </mc:Fallback>
        </mc:AlternateConten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ind w:firstLine="420" w:firstLineChars="150"/>
        <w:rPr>
          <w:sz w:val="28"/>
          <w:szCs w:val="28"/>
        </w:rPr>
      </w:pPr>
      <w:r>
        <w:rPr>
          <w:rFonts w:hint="eastAsia"/>
          <w:sz w:val="28"/>
          <w:szCs w:val="28"/>
        </w:rPr>
        <w:t>身份证关键信息应清晰可辩，否则</w:t>
      </w:r>
      <w:r>
        <w:rPr>
          <w:rFonts w:hint="eastAsia"/>
          <w:sz w:val="28"/>
          <w:szCs w:val="28"/>
          <w:lang w:eastAsia="zh-CN"/>
        </w:rPr>
        <w:t>报价</w:t>
      </w:r>
      <w:r>
        <w:rPr>
          <w:rFonts w:hint="eastAsia"/>
          <w:sz w:val="28"/>
          <w:szCs w:val="28"/>
        </w:rPr>
        <w:t>无效。</w:t>
      </w:r>
    </w:p>
    <w:p>
      <w:pPr>
        <w:ind w:firstLine="4900" w:firstLineChars="1750"/>
        <w:rPr>
          <w:sz w:val="28"/>
          <w:szCs w:val="28"/>
        </w:rPr>
      </w:pPr>
    </w:p>
    <w:p>
      <w:pPr>
        <w:ind w:firstLine="4900" w:firstLineChars="1750"/>
        <w:rPr>
          <w:sz w:val="28"/>
          <w:szCs w:val="28"/>
        </w:rPr>
      </w:pPr>
    </w:p>
    <w:p>
      <w:pPr>
        <w:rPr>
          <w:rFonts w:hint="eastAsia"/>
          <w:sz w:val="28"/>
          <w:szCs w:val="28"/>
        </w:rPr>
      </w:pPr>
    </w:p>
    <w:p>
      <w:pPr>
        <w:pStyle w:val="16"/>
        <w:rPr>
          <w:rFonts w:hint="eastAsia"/>
          <w:sz w:val="28"/>
          <w:szCs w:val="28"/>
        </w:rPr>
      </w:pPr>
    </w:p>
    <w:p>
      <w:pPr>
        <w:pStyle w:val="17"/>
        <w:rPr>
          <w:rFonts w:hint="eastAsia"/>
          <w:sz w:val="28"/>
          <w:szCs w:val="28"/>
        </w:rPr>
      </w:pPr>
    </w:p>
    <w:p>
      <w:pPr>
        <w:rPr>
          <w:rFonts w:hint="eastAsia"/>
          <w:sz w:val="28"/>
          <w:szCs w:val="28"/>
        </w:rPr>
      </w:pPr>
    </w:p>
    <w:p>
      <w:pPr>
        <w:pStyle w:val="16"/>
        <w:rPr>
          <w:rFonts w:hint="eastAsia"/>
          <w:sz w:val="28"/>
          <w:szCs w:val="28"/>
        </w:rPr>
      </w:pPr>
    </w:p>
    <w:p>
      <w:pPr>
        <w:pStyle w:val="17"/>
        <w:rPr>
          <w:rFonts w:hint="eastAsia"/>
          <w:sz w:val="28"/>
          <w:szCs w:val="28"/>
        </w:rPr>
      </w:pPr>
    </w:p>
    <w:p>
      <w:pPr>
        <w:rPr>
          <w:rFonts w:hint="eastAsia"/>
        </w:rPr>
      </w:pPr>
    </w:p>
    <w:p>
      <w:pPr>
        <w:jc w:val="center"/>
        <w:rPr>
          <w:sz w:val="28"/>
          <w:szCs w:val="28"/>
        </w:rPr>
      </w:pPr>
      <w:r>
        <w:rPr>
          <w:sz w:val="28"/>
          <w:szCs w:val="28"/>
        </w:rPr>
        <w:t xml:space="preserve">                   </w:t>
      </w:r>
      <w:r>
        <w:rPr>
          <w:rFonts w:hint="eastAsia"/>
          <w:sz w:val="28"/>
          <w:szCs w:val="28"/>
          <w:lang w:eastAsia="zh-CN"/>
        </w:rPr>
        <w:t>报价</w:t>
      </w:r>
      <w:r>
        <w:rPr>
          <w:sz w:val="28"/>
          <w:szCs w:val="28"/>
        </w:rPr>
        <w:t>供应商全称：（盖章）</w:t>
      </w:r>
    </w:p>
    <w:p>
      <w:pPr>
        <w:jc w:val="left"/>
        <w:rPr>
          <w:sz w:val="28"/>
          <w:szCs w:val="28"/>
        </w:rPr>
      </w:pPr>
    </w:p>
    <w:p>
      <w:pPr>
        <w:jc w:val="center"/>
        <w:rPr>
          <w:sz w:val="28"/>
          <w:szCs w:val="28"/>
        </w:rPr>
      </w:pPr>
      <w:r>
        <w:rPr>
          <w:sz w:val="28"/>
          <w:szCs w:val="28"/>
        </w:rPr>
        <w:t xml:space="preserve">                         </w:t>
      </w: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spacing w:before="24" w:after="24"/>
        <w:outlineLvl w:val="3"/>
        <w:rPr>
          <w:rFonts w:hint="eastAsia" w:eastAsia="方正小标宋简体"/>
          <w:b w:val="0"/>
          <w:bCs/>
          <w:sz w:val="44"/>
          <w:szCs w:val="44"/>
        </w:rPr>
      </w:pPr>
      <w:bookmarkStart w:id="641" w:name="_Toc3020"/>
      <w:r>
        <w:rPr>
          <w:rFonts w:hint="eastAsia"/>
        </w:rPr>
        <w:br w:type="page"/>
      </w:r>
      <w:bookmarkStart w:id="642" w:name="_Toc27385"/>
      <w:bookmarkStart w:id="643" w:name="_Toc19925"/>
      <w:r>
        <w:rPr>
          <w:rFonts w:hint="eastAsia" w:ascii="Times New Roman" w:hAnsi="Times New Roman" w:eastAsia="方正小标宋简体" w:cs="Times New Roman"/>
          <w:b w:val="0"/>
          <w:bCs/>
          <w:kern w:val="2"/>
          <w:sz w:val="44"/>
          <w:szCs w:val="44"/>
          <w:lang w:val="en-US" w:eastAsia="zh-CN" w:bidi="ar-SA"/>
        </w:rPr>
        <w:t>附录3：</w:t>
      </w:r>
      <w:bookmarkEnd w:id="642"/>
      <w:bookmarkEnd w:id="643"/>
    </w:p>
    <w:p>
      <w:pPr>
        <w:spacing w:before="24" w:after="24"/>
        <w:jc w:val="center"/>
        <w:outlineLvl w:val="9"/>
        <w:rPr>
          <w:rFonts w:hint="eastAsia" w:ascii="Times New Roman" w:hAnsi="Times New Roman" w:eastAsia="方正小标宋简体" w:cs="Times New Roman"/>
          <w:b w:val="0"/>
          <w:bCs/>
          <w:kern w:val="2"/>
          <w:sz w:val="44"/>
          <w:szCs w:val="24"/>
          <w:lang w:val="en-US" w:eastAsia="zh-CN" w:bidi="ar-SA"/>
        </w:rPr>
      </w:pPr>
      <w:bookmarkStart w:id="644" w:name="_Toc19980"/>
      <w:bookmarkStart w:id="645" w:name="_Toc19206"/>
      <w:r>
        <w:rPr>
          <w:rFonts w:hint="eastAsia" w:ascii="Times New Roman" w:hAnsi="Times New Roman" w:eastAsia="方正小标宋简体" w:cs="Times New Roman"/>
          <w:b w:val="0"/>
          <w:bCs/>
          <w:kern w:val="2"/>
          <w:sz w:val="44"/>
          <w:szCs w:val="24"/>
          <w:lang w:val="en-US" w:eastAsia="zh-CN" w:bidi="ar-SA"/>
        </w:rPr>
        <w:t>法定代表人授权书</w:t>
      </w:r>
      <w:bookmarkEnd w:id="641"/>
      <w:bookmarkEnd w:id="644"/>
      <w:bookmarkEnd w:id="645"/>
    </w:p>
    <w:p>
      <w:pPr>
        <w:spacing w:before="24" w:after="24"/>
        <w:jc w:val="center"/>
        <w:outlineLvl w:val="9"/>
      </w:pPr>
      <w:bookmarkStart w:id="646" w:name="_Toc18985"/>
      <w:bookmarkStart w:id="647" w:name="_Toc5761"/>
      <w:r>
        <w:rPr>
          <w:rFonts w:hint="eastAsia" w:ascii="Times New Roman" w:hAnsi="Times New Roman" w:eastAsia="方正小标宋简体" w:cs="Times New Roman"/>
          <w:b/>
          <w:bCs/>
          <w:sz w:val="28"/>
          <w:szCs w:val="28"/>
        </w:rPr>
        <w:t>（授权人</w:t>
      </w:r>
      <w:r>
        <w:rPr>
          <w:rFonts w:hint="eastAsia" w:ascii="Times New Roman" w:hAnsi="Times New Roman" w:eastAsia="方正小标宋简体" w:cs="Times New Roman"/>
          <w:b/>
          <w:bCs/>
          <w:sz w:val="28"/>
          <w:szCs w:val="28"/>
          <w:lang w:eastAsia="zh-CN"/>
        </w:rPr>
        <w:t>报价</w:t>
      </w:r>
      <w:r>
        <w:rPr>
          <w:rFonts w:hint="eastAsia" w:ascii="Times New Roman" w:hAnsi="Times New Roman" w:eastAsia="方正小标宋简体" w:cs="Times New Roman"/>
          <w:b/>
          <w:bCs/>
          <w:sz w:val="28"/>
          <w:szCs w:val="28"/>
        </w:rPr>
        <w:t>时同时提供法定代表人资格证明书）</w:t>
      </w:r>
      <w:bookmarkEnd w:id="646"/>
      <w:bookmarkEnd w:id="647"/>
    </w:p>
    <w:p>
      <w:pPr>
        <w:spacing w:line="600" w:lineRule="exact"/>
        <w:rPr>
          <w:rFonts w:eastAsia="楷体_GB2312"/>
          <w:sz w:val="28"/>
          <w:szCs w:val="28"/>
        </w:rPr>
      </w:pPr>
      <w:r>
        <w:rPr>
          <w:rFonts w:ascii="楷体_GB2312" w:hAnsi="宋体" w:eastAsia="楷体_GB2312"/>
          <w:sz w:val="28"/>
          <w:szCs w:val="28"/>
          <w:u w:val="single"/>
        </w:rPr>
        <w:t>（采购机构名称）</w:t>
      </w:r>
      <w:r>
        <w:rPr>
          <w:rFonts w:eastAsia="楷体_GB2312"/>
          <w:sz w:val="28"/>
          <w:szCs w:val="28"/>
        </w:rPr>
        <w:t>：</w:t>
      </w:r>
    </w:p>
    <w:p>
      <w:pPr>
        <w:spacing w:line="600" w:lineRule="exact"/>
        <w:ind w:firstLine="596" w:firstLineChars="213"/>
        <w:rPr>
          <w:sz w:val="28"/>
          <w:szCs w:val="28"/>
        </w:rPr>
      </w:pPr>
      <w:r>
        <w:rPr>
          <w:sz w:val="28"/>
          <w:szCs w:val="28"/>
          <w:u w:val="single"/>
        </w:rPr>
        <w:t>（</w:t>
      </w:r>
      <w:r>
        <w:rPr>
          <w:rFonts w:hint="eastAsia"/>
          <w:sz w:val="28"/>
          <w:szCs w:val="28"/>
          <w:u w:val="single"/>
          <w:lang w:eastAsia="zh-CN"/>
        </w:rPr>
        <w:t>报价</w:t>
      </w:r>
      <w:r>
        <w:rPr>
          <w:sz w:val="28"/>
          <w:szCs w:val="28"/>
          <w:u w:val="single"/>
        </w:rPr>
        <w:t>供应商全称）</w:t>
      </w:r>
      <w:r>
        <w:rPr>
          <w:sz w:val="28"/>
          <w:szCs w:val="28"/>
        </w:rPr>
        <w:t>法定代表人</w:t>
      </w:r>
      <w:r>
        <w:rPr>
          <w:sz w:val="28"/>
          <w:szCs w:val="28"/>
          <w:u w:val="single"/>
        </w:rPr>
        <w:t>（姓名、职务）</w:t>
      </w:r>
      <w:r>
        <w:rPr>
          <w:sz w:val="28"/>
          <w:szCs w:val="28"/>
        </w:rPr>
        <w:t>授权</w:t>
      </w:r>
      <w:r>
        <w:rPr>
          <w:sz w:val="28"/>
          <w:szCs w:val="28"/>
          <w:u w:val="single"/>
        </w:rPr>
        <w:t>（授权代表姓名、职务）</w:t>
      </w:r>
      <w:r>
        <w:rPr>
          <w:sz w:val="28"/>
          <w:szCs w:val="28"/>
        </w:rPr>
        <w:t>为全权代表，参加</w:t>
      </w:r>
      <w:r>
        <w:rPr>
          <w:rFonts w:hint="eastAsia"/>
          <w:sz w:val="28"/>
          <w:szCs w:val="28"/>
        </w:rPr>
        <w:t>贵单位</w:t>
      </w:r>
      <w:r>
        <w:rPr>
          <w:sz w:val="28"/>
          <w:szCs w:val="28"/>
        </w:rPr>
        <w:t>组织的项目编号为</w:t>
      </w:r>
      <w:r>
        <w:rPr>
          <w:sz w:val="28"/>
          <w:szCs w:val="28"/>
          <w:u w:val="single"/>
        </w:rPr>
        <w:t>（项目编号）</w:t>
      </w:r>
      <w:r>
        <w:rPr>
          <w:sz w:val="28"/>
          <w:szCs w:val="28"/>
        </w:rPr>
        <w:t>的</w:t>
      </w:r>
      <w:r>
        <w:rPr>
          <w:sz w:val="28"/>
          <w:szCs w:val="28"/>
          <w:u w:val="single"/>
        </w:rPr>
        <w:t>（项目名称）</w:t>
      </w:r>
      <w:r>
        <w:rPr>
          <w:sz w:val="28"/>
          <w:szCs w:val="28"/>
        </w:rPr>
        <w:t>采购活动，全权处理采购活动中的一切事宜。</w:t>
      </w:r>
    </w:p>
    <w:p>
      <w:pPr>
        <w:spacing w:line="560" w:lineRule="exact"/>
        <w:ind w:firstLine="600"/>
        <w:rPr>
          <w:sz w:val="28"/>
          <w:szCs w:val="28"/>
        </w:rPr>
      </w:pPr>
    </w:p>
    <w:p>
      <w:pPr>
        <w:spacing w:line="560" w:lineRule="exact"/>
        <w:ind w:left="-2" w:leftChars="-1" w:firstLine="4200" w:firstLineChars="1500"/>
        <w:rPr>
          <w:rFonts w:ascii="宋体" w:hAnsi="宋体" w:cs="宋体"/>
          <w:bCs/>
          <w:sz w:val="28"/>
          <w:szCs w:val="28"/>
        </w:rPr>
      </w:pPr>
      <w:r>
        <w:rPr>
          <w:rFonts w:hint="eastAsia" w:ascii="宋体" w:hAnsi="宋体" w:cs="宋体"/>
          <w:bCs/>
          <w:sz w:val="28"/>
          <w:szCs w:val="28"/>
        </w:rPr>
        <w:t xml:space="preserve">报价供应商全称：（盖章）                            </w:t>
      </w:r>
    </w:p>
    <w:p>
      <w:pPr>
        <w:spacing w:line="560" w:lineRule="exact"/>
        <w:ind w:firstLine="4200" w:firstLineChars="1500"/>
        <w:rPr>
          <w:rFonts w:ascii="宋体" w:hAnsi="宋体" w:cs="宋体"/>
          <w:bCs/>
          <w:sz w:val="28"/>
          <w:szCs w:val="28"/>
        </w:rPr>
      </w:pPr>
      <w:r>
        <w:rPr>
          <w:rFonts w:hint="eastAsia" w:ascii="宋体" w:hAnsi="宋体" w:cs="宋体"/>
          <w:bCs/>
          <w:sz w:val="28"/>
          <w:szCs w:val="28"/>
        </w:rPr>
        <w:t>法定代表人：（签字）</w:t>
      </w:r>
    </w:p>
    <w:p>
      <w:pPr>
        <w:spacing w:line="560" w:lineRule="exact"/>
        <w:ind w:firstLine="4200" w:firstLineChars="1500"/>
        <w:rPr>
          <w:rFonts w:ascii="宋体" w:hAnsi="宋体" w:cs="宋体"/>
          <w:bCs/>
          <w:sz w:val="28"/>
          <w:szCs w:val="28"/>
        </w:rPr>
      </w:pPr>
      <w:r>
        <w:rPr>
          <w:rFonts w:hint="eastAsia" w:ascii="宋体" w:hAnsi="宋体" w:cs="宋体"/>
          <w:bCs/>
          <w:sz w:val="28"/>
          <w:szCs w:val="28"/>
        </w:rPr>
        <w:t>授权代表：（签字）</w:t>
      </w:r>
    </w:p>
    <w:p>
      <w:pPr>
        <w:spacing w:line="560" w:lineRule="exact"/>
        <w:ind w:left="2967" w:leftChars="1413" w:firstLine="560" w:firstLineChars="200"/>
        <w:rPr>
          <w:rFonts w:ascii="宋体" w:hAnsi="宋体" w:cs="宋体"/>
          <w:bCs/>
          <w:sz w:val="28"/>
          <w:szCs w:val="28"/>
        </w:rPr>
      </w:pPr>
      <w:r>
        <w:rPr>
          <w:rFonts w:hint="eastAsia" w:ascii="宋体" w:hAnsi="宋体" w:cs="宋体"/>
          <w:bCs/>
          <w:sz w:val="28"/>
          <w:szCs w:val="28"/>
        </w:rPr>
        <w:t xml:space="preserve">              </w:t>
      </w:r>
      <w:r>
        <w:rPr>
          <w:rFonts w:ascii="宋体" w:hAnsi="宋体" w:cs="宋体"/>
          <w:bCs/>
          <w:sz w:val="28"/>
          <w:szCs w:val="28"/>
        </w:rPr>
        <w:t xml:space="preserve">       </w:t>
      </w:r>
      <w:r>
        <w:rPr>
          <w:rFonts w:hint="eastAsia" w:ascii="宋体" w:hAnsi="宋体" w:cs="宋体"/>
          <w:bCs/>
          <w:sz w:val="28"/>
          <w:szCs w:val="28"/>
        </w:rPr>
        <w:t xml:space="preserve"> </w:t>
      </w:r>
      <w:r>
        <w:rPr>
          <w:rFonts w:hint="eastAsia" w:ascii="宋体" w:hAnsi="宋体" w:cs="宋体"/>
          <w:bCs/>
          <w:sz w:val="28"/>
          <w:szCs w:val="28"/>
          <w:u w:val="single"/>
        </w:rPr>
        <w:t xml:space="preserve">   </w:t>
      </w:r>
      <w:r>
        <w:rPr>
          <w:rFonts w:hint="eastAsia" w:ascii="宋体" w:hAnsi="宋体" w:cs="宋体"/>
          <w:bCs/>
          <w:sz w:val="28"/>
          <w:szCs w:val="28"/>
        </w:rPr>
        <w:t>年</w:t>
      </w:r>
      <w:r>
        <w:rPr>
          <w:rFonts w:hint="eastAsia" w:ascii="宋体" w:hAnsi="宋体" w:cs="宋体"/>
          <w:bCs/>
          <w:sz w:val="28"/>
          <w:szCs w:val="28"/>
          <w:u w:val="single"/>
        </w:rPr>
        <w:t xml:space="preserve">   </w:t>
      </w:r>
      <w:r>
        <w:rPr>
          <w:rFonts w:hint="eastAsia" w:ascii="宋体" w:hAnsi="宋体" w:cs="宋体"/>
          <w:bCs/>
          <w:sz w:val="28"/>
          <w:szCs w:val="28"/>
        </w:rPr>
        <w:t>月</w:t>
      </w:r>
      <w:r>
        <w:rPr>
          <w:rFonts w:hint="eastAsia" w:ascii="宋体" w:hAnsi="宋体" w:cs="宋体"/>
          <w:bCs/>
          <w:sz w:val="28"/>
          <w:szCs w:val="28"/>
          <w:u w:val="single"/>
        </w:rPr>
        <w:t xml:space="preserve">   </w:t>
      </w:r>
      <w:r>
        <w:rPr>
          <w:rFonts w:hint="eastAsia" w:ascii="宋体" w:hAnsi="宋体" w:cs="宋体"/>
          <w:bCs/>
          <w:sz w:val="28"/>
          <w:szCs w:val="28"/>
        </w:rPr>
        <w:t>日</w:t>
      </w:r>
    </w:p>
    <w:p>
      <w:pPr>
        <w:spacing w:line="560" w:lineRule="exact"/>
        <w:rPr>
          <w:sz w:val="28"/>
          <w:szCs w:val="28"/>
        </w:rPr>
      </w:pPr>
      <w:r>
        <w:rPr>
          <w:sz w:val="28"/>
          <w:szCs w:val="28"/>
        </w:rPr>
        <w:t>附：</w:t>
      </w:r>
    </w:p>
    <w:p>
      <w:pPr>
        <w:spacing w:line="560" w:lineRule="exact"/>
        <w:ind w:firstLine="573"/>
        <w:rPr>
          <w:sz w:val="28"/>
          <w:szCs w:val="28"/>
        </w:rPr>
      </w:pPr>
      <w:r>
        <w:rPr>
          <w:sz w:val="28"/>
          <w:szCs w:val="28"/>
        </w:rPr>
        <w:t>授权代表姓名：</w:t>
      </w:r>
      <w:r>
        <w:rPr>
          <w:sz w:val="28"/>
          <w:szCs w:val="28"/>
          <w:u w:val="single"/>
        </w:rPr>
        <w:t xml:space="preserve">         </w:t>
      </w:r>
      <w:r>
        <w:rPr>
          <w:sz w:val="28"/>
          <w:szCs w:val="28"/>
        </w:rPr>
        <w:t xml:space="preserve">     </w:t>
      </w:r>
    </w:p>
    <w:p>
      <w:pPr>
        <w:spacing w:line="560" w:lineRule="exact"/>
        <w:ind w:firstLine="573"/>
        <w:rPr>
          <w:sz w:val="28"/>
          <w:szCs w:val="28"/>
        </w:rPr>
      </w:pPr>
      <w:r>
        <w:rPr>
          <w:sz w:val="28"/>
          <w:szCs w:val="28"/>
        </w:rPr>
        <w:t>职    务：</w:t>
      </w:r>
      <w:r>
        <w:rPr>
          <w:sz w:val="28"/>
          <w:szCs w:val="28"/>
          <w:u w:val="single"/>
        </w:rPr>
        <w:t xml:space="preserve">             </w:t>
      </w:r>
      <w:r>
        <w:rPr>
          <w:sz w:val="28"/>
          <w:szCs w:val="28"/>
        </w:rPr>
        <w:t xml:space="preserve">         </w:t>
      </w:r>
      <w:r>
        <w:rPr>
          <w:rFonts w:hint="eastAsia"/>
          <w:sz w:val="28"/>
          <w:szCs w:val="28"/>
        </w:rPr>
        <w:t>移动电话</w:t>
      </w:r>
      <w:r>
        <w:rPr>
          <w:sz w:val="28"/>
          <w:szCs w:val="28"/>
        </w:rPr>
        <w:t>：</w:t>
      </w:r>
      <w:r>
        <w:rPr>
          <w:sz w:val="28"/>
          <w:szCs w:val="28"/>
          <w:u w:val="single"/>
        </w:rPr>
        <w:t xml:space="preserve">           </w:t>
      </w:r>
    </w:p>
    <w:p>
      <w:pPr>
        <w:spacing w:line="560" w:lineRule="exact"/>
        <w:ind w:firstLine="573"/>
        <w:rPr>
          <w:sz w:val="28"/>
          <w:szCs w:val="28"/>
        </w:rPr>
      </w:pPr>
      <w:r>
        <w:rPr>
          <w:sz w:val="28"/>
          <w:szCs w:val="28"/>
        </w:rPr>
        <w:t>传    真：</w:t>
      </w:r>
      <w:r>
        <w:rPr>
          <w:sz w:val="28"/>
          <w:szCs w:val="28"/>
          <w:u w:val="single"/>
        </w:rPr>
        <w:t xml:space="preserve">             </w:t>
      </w:r>
      <w:r>
        <w:rPr>
          <w:sz w:val="28"/>
          <w:szCs w:val="28"/>
        </w:rPr>
        <w:t xml:space="preserve">         邮    编：</w:t>
      </w:r>
      <w:r>
        <w:rPr>
          <w:sz w:val="28"/>
          <w:szCs w:val="28"/>
          <w:u w:val="single"/>
        </w:rPr>
        <w:t xml:space="preserve">           </w:t>
      </w:r>
    </w:p>
    <w:p>
      <w:pPr>
        <w:spacing w:line="560" w:lineRule="exact"/>
        <w:ind w:firstLine="573"/>
        <w:rPr>
          <w:sz w:val="28"/>
          <w:szCs w:val="28"/>
        </w:rPr>
      </w:pPr>
      <w:r>
        <w:rPr>
          <w:sz w:val="28"/>
          <w:szCs w:val="28"/>
        </w:rPr>
        <w:t>通讯地址：</w:t>
      </w:r>
      <w:r>
        <w:rPr>
          <w:sz w:val="28"/>
          <w:szCs w:val="28"/>
          <w:u w:val="single"/>
        </w:rPr>
        <w:t xml:space="preserve">             </w:t>
      </w:r>
    </w:p>
    <w:p>
      <w:pPr>
        <w:spacing w:line="560" w:lineRule="exact"/>
        <w:ind w:firstLine="573"/>
      </w:pPr>
      <w:r>
        <mc:AlternateContent>
          <mc:Choice Requires="wps">
            <w:drawing>
              <wp:anchor distT="0" distB="0" distL="114300" distR="114300" simplePos="0" relativeHeight="251676672" behindDoc="0" locked="0" layoutInCell="1" allowOverlap="1">
                <wp:simplePos x="0" y="0"/>
                <wp:positionH relativeFrom="column">
                  <wp:posOffset>2875915</wp:posOffset>
                </wp:positionH>
                <wp:positionV relativeFrom="paragraph">
                  <wp:posOffset>119380</wp:posOffset>
                </wp:positionV>
                <wp:extent cx="2240915" cy="1125855"/>
                <wp:effectExtent l="4445" t="4445" r="17780" b="18415"/>
                <wp:wrapNone/>
                <wp:docPr id="12" name="文本框 12"/>
                <wp:cNvGraphicFramePr/>
                <a:graphic xmlns:a="http://schemas.openxmlformats.org/drawingml/2006/main">
                  <a:graphicData uri="http://schemas.microsoft.com/office/word/2010/wordprocessingShape">
                    <wps:wsp>
                      <wps:cNvSpPr txBox="1"/>
                      <wps:spPr>
                        <a:xfrm>
                          <a:off x="0" y="0"/>
                          <a:ext cx="2240915" cy="1125855"/>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w:t>
                            </w:r>
                            <w:r>
                              <w:rPr>
                                <w:rFonts w:hint="eastAsia" w:ascii="宋体" w:hAnsi="宋体"/>
                                <w:sz w:val="28"/>
                                <w:szCs w:val="28"/>
                                <w:lang w:val="en-US" w:eastAsia="zh-CN"/>
                              </w:rPr>
                              <w:t>反面</w:t>
                            </w:r>
                            <w:r>
                              <w:rPr>
                                <w:rFonts w:hint="eastAsia" w:ascii="宋体" w:hAnsi="宋体"/>
                                <w:sz w:val="28"/>
                                <w:szCs w:val="28"/>
                              </w:rPr>
                              <w:t>）</w:t>
                            </w:r>
                          </w:p>
                        </w:txbxContent>
                      </wps:txbx>
                      <wps:bodyPr anchor="ctr" anchorCtr="0" upright="1"/>
                    </wps:wsp>
                  </a:graphicData>
                </a:graphic>
              </wp:anchor>
            </w:drawing>
          </mc:Choice>
          <mc:Fallback>
            <w:pict>
              <v:shape id="_x0000_s1026" o:spid="_x0000_s1026" o:spt="202" type="#_x0000_t202" style="position:absolute;left:0pt;margin-left:226.45pt;margin-top:9.4pt;height:88.65pt;width:176.45pt;z-index:251676672;v-text-anchor:middle;mso-width-relative:page;mso-height-relative:page;" fillcolor="#FFFFFF" filled="t" stroked="t" coordsize="21600,21600" o:gfxdata="UEsDBAoAAAAAAIdO4kAAAAAAAAAAAAAAAAAEAAAAZHJzL1BLAwQUAAAACACHTuJAaYx3LdUAAAAK&#10;AQAADwAAAGRycy9kb3ducmV2LnhtbE2PzU7EMAyE70i8Q2QkbmzSFVu1pekeQMsRicIDpI1pq02c&#10;qsn+0KfHnOBme0bjb+r91TtxxiVOgTRkGwUCqQ92okHD58fhoQARkyFrXCDU8I0R9s3tTW0qGy70&#10;juc2DYJDKFZGw5jSXEkZ+xG9iZswI7H2FRZvEq/LIO1iLhzundwqlUtvJuIPo5nxecT+2J68hrey&#10;wGF9ib06Hlr/2q0urnmm9f1dpp5AJLymPzP84jM6NMzUhRPZKJyGx922ZCsLBVdgQ6F2PHR8KPMM&#10;ZFPL/xWaH1BLAwQUAAAACACHTuJAMH4HViACAABhBAAADgAAAGRycy9lMm9Eb2MueG1srVTNjtMw&#10;EL4j8Q6W7zRpRNFu1HQltpQLAqRdHmBqO4kl/8l22/QF4A04ceHOc+1zMHaypbtw6AEfnPF4/M3M&#10;NzNZ3gxakb3wQVrT0PmspEQYZrk0XUO/3G9eXVESIhgOyhrR0KMI9Gb18sXy4GpR2d4qLjxBEBPq&#10;g2toH6OriyKwXmgIM+uEwcvWeg0Rj74ruIcDomtVVGX5pjhYz523TISA2vV4SSdEfwmgbVvJxNqy&#10;nRYmjqheKIiYUuilC3SVo21bweKntg0iEtVQzDTmHZ2gvE17sVpC3XlwvWRTCHBJCM9y0iANOj1B&#10;rSEC2Xn5F5SWzNtg2zhjVhdjIpkRzGJePuPmrgcnci5IdXAn0sP/g2Uf9589kRw7oaLEgMaKP3z/&#10;9vDj18PPrwR1SNDBhRrt7hxaxuGtHdD4UR9QmfIeWq/TFzMieI/0Hk/0iiEShsqqel1ezxeUMLyb&#10;z6vF1WKRcIo/z50P8b2wmiShoR7rl2mF/YcQR9NHk+QtWCX5RiqVD77b3ipP9oC13uQ1oT8xU4Yc&#10;Gnq9qFIggA3cYuOgqB2SEEyX/T15Ec6By7z+BZwCW0PoxwA4SskKai2j8FnqBfB3hpN4dEizwfGi&#10;KRYtOCVK4DQmKVtGkOoSS6ROmeRE5F6fSEoFGwuTpDhsBwRN4tbyIxYRDOstDgGLnk6H2zgOxc55&#10;2fVIfa5wkR5h5+UaTVOSWvv8jPL5n2H1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GmMdy3VAAAA&#10;CgEAAA8AAAAAAAAAAQAgAAAAIgAAAGRycy9kb3ducmV2LnhtbFBLAQIUABQAAAAIAIdO4kAwfgdW&#10;IAIAAGEEAAAOAAAAAAAAAAEAIAAAACQBAABkcnMvZTJvRG9jLnhtbFBLBQYAAAAABgAGAFkBAAC2&#10;BQAAAAA=&#10;">
                <v:fill on="t" focussize="0,0"/>
                <v:stroke color="#000000"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w:t>
                      </w:r>
                      <w:r>
                        <w:rPr>
                          <w:rFonts w:hint="eastAsia" w:ascii="宋体" w:hAnsi="宋体"/>
                          <w:sz w:val="28"/>
                          <w:szCs w:val="28"/>
                          <w:lang w:val="en-US" w:eastAsia="zh-CN"/>
                        </w:rPr>
                        <w:t>反面</w:t>
                      </w:r>
                      <w:r>
                        <w:rPr>
                          <w:rFonts w:hint="eastAsia" w:ascii="宋体" w:hAnsi="宋体"/>
                          <w:sz w:val="28"/>
                          <w:szCs w:val="28"/>
                        </w:rPr>
                        <w:t>）</w:t>
                      </w:r>
                    </w:p>
                  </w:txbxContent>
                </v:textbox>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388620</wp:posOffset>
                </wp:positionH>
                <wp:positionV relativeFrom="paragraph">
                  <wp:posOffset>117475</wp:posOffset>
                </wp:positionV>
                <wp:extent cx="2240915" cy="1125855"/>
                <wp:effectExtent l="4445" t="4445" r="17780" b="18415"/>
                <wp:wrapNone/>
                <wp:docPr id="11" name="文本框 11"/>
                <wp:cNvGraphicFramePr/>
                <a:graphic xmlns:a="http://schemas.openxmlformats.org/drawingml/2006/main">
                  <a:graphicData uri="http://schemas.microsoft.com/office/word/2010/wordprocessingShape">
                    <wps:wsp>
                      <wps:cNvSpPr txBox="1"/>
                      <wps:spPr>
                        <a:xfrm>
                          <a:off x="0" y="0"/>
                          <a:ext cx="2240915" cy="1125855"/>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w:t>
                            </w:r>
                            <w:r>
                              <w:rPr>
                                <w:rFonts w:hint="eastAsia" w:ascii="宋体" w:hAnsi="宋体"/>
                                <w:sz w:val="28"/>
                                <w:szCs w:val="28"/>
                                <w:lang w:val="en-US" w:eastAsia="zh-CN"/>
                              </w:rPr>
                              <w:t>正面</w:t>
                            </w:r>
                            <w:r>
                              <w:rPr>
                                <w:rFonts w:hint="eastAsia" w:ascii="宋体" w:hAnsi="宋体"/>
                                <w:sz w:val="28"/>
                                <w:szCs w:val="28"/>
                              </w:rPr>
                              <w:t>）</w:t>
                            </w:r>
                          </w:p>
                        </w:txbxContent>
                      </wps:txbx>
                      <wps:bodyPr anchor="ctr" anchorCtr="0" upright="1"/>
                    </wps:wsp>
                  </a:graphicData>
                </a:graphic>
              </wp:anchor>
            </w:drawing>
          </mc:Choice>
          <mc:Fallback>
            <w:pict>
              <v:shape id="_x0000_s1026" o:spid="_x0000_s1026" o:spt="202" type="#_x0000_t202" style="position:absolute;left:0pt;margin-left:30.6pt;margin-top:9.25pt;height:88.65pt;width:176.45pt;z-index:251675648;v-text-anchor:middle;mso-width-relative:page;mso-height-relative:page;" fillcolor="#FFFFFF" filled="t" stroked="t" coordsize="21600,21600" o:gfxdata="UEsDBAoAAAAAAIdO4kAAAAAAAAAAAAAAAAAEAAAAZHJzL1BLAwQUAAAACACHTuJAdq2GFtUAAAAJ&#10;AQAADwAAAGRycy9kb3ducmV2LnhtbE2PzU7DMBCE70i8g7VI3Kjtqo3SEKcHUDkiEfoATrwkUeN1&#10;FLs/5OlZTnDcmdHsN+X+5kdxwTkOgQzolQKB1AY3UGfg+Hl4ykHEZMnZMRAa+MYI++r+rrSFC1f6&#10;wEudOsElFAtroE9pKqSMbY/exlWYkNj7CrO3ic+5k262Vy73o1wrlUlvB+IPvZ3wpcf2VJ+9gfdd&#10;jt3yGlt1OtT+rVnGuGTamMcHrZ5BJLylvzD84jM6VMzUhDO5KEYDmV5zkvV8C4L9jd5oEA0Lu20O&#10;sirl/wXVD1BLAwQUAAAACACHTuJASw8XSSACAABhBAAADgAAAGRycy9lMm9Eb2MueG1srVTNjtMw&#10;EL4j8Q6W7zQ/Img3arrSbikXBEi7PIBrO4kl/8l2m/QF4A04ceHOc/U5GDvZ0l049LA+OOPx+JuZ&#10;b2ayvBmVRHvuvDC6wcUix4hrapjQXYO/PmzeXGHkA9GMSKN5gw/c45vV61fLwda8NL2RjDsEINrX&#10;g21wH4Kts8zTniviF8ZyDZetcYoEOLouY44MgK5kVub5u2wwjllnKPcetOvpEs+I7hJA07aC8rWh&#10;O8V1mFAdlyRASr4X1uNVirZtOQ2f29bzgGSDIdOQdnAC8jbu2WpJ6s4R2ws6h0AuCeFZTooIDU5P&#10;UGsSCNo58Q+UEtQZb9qwoEZlUyKJEciiyJ9xc98Ty1MuQLW3J9L9y8HST/svDgkGnVBgpImCih9/&#10;fD/+/H389Q2BDggarK/B7t6CZRhvzQjGj3oPypj32DoVv5ARgnug93Cil48BUVCW5dv8uqgwonBX&#10;FGV1VVURJ/v73DofPnCjUBQa7KB+iVay/+jDZPpoEr15IwXbCCnTwXXbO+nQnkCtN2nN6E/MpEZD&#10;g6+rMgZCoIFbaBwQlQUSvO6Svycv/Dlwntb/gGNga+L7KQAGUrQitRKBuyT1nLD3mqFwsECzhvHC&#10;MRbFGUaSwzRGKVkGIuQllkCd1NEJT70+kxQLNhUmSmHcjgAaxa1hBygi0bQ3MAQ0ODwf7sI0FDvr&#10;RNcD9anCWXwEnZdqNE9JbO3zM8jnf4bV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athhbVAAAA&#10;CQEAAA8AAAAAAAAAAQAgAAAAIgAAAGRycy9kb3ducmV2LnhtbFBLAQIUABQAAAAIAIdO4kBLDxdJ&#10;IAIAAGEEAAAOAAAAAAAAAAEAIAAAACQBAABkcnMvZTJvRG9jLnhtbFBLBQYAAAAABgAGAFkBAAC2&#10;BQAAAAA=&#10;">
                <v:fill on="t" focussize="0,0"/>
                <v:stroke color="#000000"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w:t>
                      </w:r>
                      <w:r>
                        <w:rPr>
                          <w:rFonts w:hint="eastAsia" w:ascii="宋体" w:hAnsi="宋体"/>
                          <w:sz w:val="28"/>
                          <w:szCs w:val="28"/>
                          <w:lang w:val="en-US" w:eastAsia="zh-CN"/>
                        </w:rPr>
                        <w:t>正面</w:t>
                      </w:r>
                      <w:r>
                        <w:rPr>
                          <w:rFonts w:hint="eastAsia" w:ascii="宋体" w:hAnsi="宋体"/>
                          <w:sz w:val="28"/>
                          <w:szCs w:val="28"/>
                        </w:rPr>
                        <w:t>）</w:t>
                      </w:r>
                    </w:p>
                  </w:txbxContent>
                </v:textbox>
              </v:shape>
            </w:pict>
          </mc:Fallback>
        </mc:AlternateContent>
      </w:r>
    </w:p>
    <w:p>
      <w:pPr>
        <w:spacing w:line="560" w:lineRule="exact"/>
        <w:ind w:firstLine="573"/>
      </w:pPr>
    </w:p>
    <w:p>
      <w:pPr>
        <w:spacing w:line="560" w:lineRule="exact"/>
        <w:ind w:firstLine="573"/>
      </w:pPr>
    </w:p>
    <w:p>
      <w:pPr>
        <w:ind w:firstLine="420" w:firstLineChars="150"/>
        <w:rPr>
          <w:rFonts w:hint="eastAsia"/>
          <w:sz w:val="28"/>
          <w:szCs w:val="28"/>
        </w:rPr>
      </w:pPr>
    </w:p>
    <w:p>
      <w:pPr>
        <w:ind w:firstLine="560" w:firstLineChars="200"/>
        <w:rPr>
          <w:sz w:val="28"/>
          <w:szCs w:val="28"/>
        </w:rPr>
      </w:pPr>
      <w:r>
        <w:rPr>
          <w:rFonts w:hint="eastAsia"/>
          <w:sz w:val="28"/>
          <w:szCs w:val="28"/>
        </w:rPr>
        <w:t>身份证关键信息应清晰可辩，否则</w:t>
      </w:r>
      <w:r>
        <w:rPr>
          <w:rFonts w:hint="eastAsia"/>
          <w:sz w:val="28"/>
          <w:szCs w:val="28"/>
          <w:lang w:eastAsia="zh-CN"/>
        </w:rPr>
        <w:t>报价</w:t>
      </w:r>
      <w:r>
        <w:rPr>
          <w:rFonts w:hint="eastAsia"/>
          <w:sz w:val="28"/>
          <w:szCs w:val="28"/>
        </w:rPr>
        <w:t>无效。</w:t>
      </w:r>
    </w:p>
    <w:p>
      <w:pPr>
        <w:rPr>
          <w:rFonts w:hint="eastAsia"/>
        </w:rPr>
      </w:pPr>
      <w:bookmarkStart w:id="648" w:name="_Toc40975544"/>
      <w:r>
        <w:rPr>
          <w:rFonts w:hint="eastAsia"/>
        </w:rPr>
        <w:br w:type="page"/>
      </w:r>
    </w:p>
    <w:p>
      <w:pPr>
        <w:spacing w:line="600" w:lineRule="exact"/>
        <w:rPr>
          <w:rFonts w:hint="eastAsia"/>
          <w:sz w:val="28"/>
          <w:szCs w:val="28"/>
        </w:rPr>
      </w:pPr>
      <w:r>
        <w:rPr>
          <w:rFonts w:hint="eastAsia"/>
          <w:sz w:val="28"/>
          <w:szCs w:val="28"/>
        </w:rPr>
        <w:t>附①：在职员工证明</w:t>
      </w:r>
      <w:bookmarkEnd w:id="648"/>
    </w:p>
    <w:p>
      <w:pPr>
        <w:jc w:val="center"/>
        <w:outlineLvl w:val="9"/>
        <w:rPr>
          <w:rFonts w:hint="eastAsia" w:eastAsia="方正小标宋简体"/>
          <w:bCs/>
          <w:sz w:val="44"/>
          <w:szCs w:val="44"/>
        </w:rPr>
      </w:pPr>
      <w:bookmarkStart w:id="649" w:name="_Toc24630"/>
      <w:r>
        <w:rPr>
          <w:rFonts w:hint="eastAsia" w:eastAsia="方正小标宋简体"/>
          <w:bCs/>
          <w:sz w:val="44"/>
          <w:szCs w:val="44"/>
        </w:rPr>
        <w:t>在职员工证明（仅供参考）</w:t>
      </w:r>
      <w:bookmarkEnd w:id="649"/>
    </w:p>
    <w:p>
      <w:pPr>
        <w:spacing w:line="600" w:lineRule="exact"/>
        <w:rPr>
          <w:rFonts w:hint="eastAsia"/>
          <w:sz w:val="28"/>
          <w:szCs w:val="28"/>
          <w:u w:val="single"/>
        </w:rPr>
      </w:pPr>
      <w:r>
        <w:rPr>
          <w:rFonts w:hint="eastAsia"/>
          <w:sz w:val="28"/>
          <w:szCs w:val="28"/>
        </w:rPr>
        <w:t>兹证明</w:t>
      </w:r>
      <w:r>
        <w:rPr>
          <w:rFonts w:hint="eastAsia"/>
          <w:sz w:val="28"/>
          <w:szCs w:val="28"/>
          <w:u w:val="single"/>
        </w:rPr>
        <w:t xml:space="preserve"> :</w:t>
      </w:r>
    </w:p>
    <w:p>
      <w:pPr>
        <w:spacing w:line="600" w:lineRule="exact"/>
        <w:rPr>
          <w:sz w:val="28"/>
          <w:szCs w:val="28"/>
        </w:rPr>
      </w:pPr>
      <w:r>
        <w:rPr>
          <w:rFonts w:hint="eastAsia"/>
          <w:sz w:val="28"/>
          <w:szCs w:val="28"/>
        </w:rPr>
        <w:t>（姓名）为本单位在职员工，已连续在我单位工作</w:t>
      </w:r>
      <w:r>
        <w:rPr>
          <w:rFonts w:hint="eastAsia"/>
          <w:sz w:val="28"/>
          <w:szCs w:val="28"/>
          <w:u w:val="single"/>
        </w:rPr>
        <w:t xml:space="preserve">        </w:t>
      </w:r>
      <w:r>
        <w:rPr>
          <w:rFonts w:hint="eastAsia"/>
          <w:sz w:val="28"/>
          <w:szCs w:val="28"/>
        </w:rPr>
        <w:t>年，身份证号：</w:t>
      </w:r>
      <w:r>
        <w:rPr>
          <w:rFonts w:hint="eastAsia"/>
          <w:sz w:val="28"/>
          <w:szCs w:val="28"/>
          <w:u w:val="single"/>
        </w:rPr>
        <w:t xml:space="preserve">                         </w:t>
      </w:r>
      <w:r>
        <w:rPr>
          <w:rFonts w:hint="eastAsia"/>
          <w:sz w:val="28"/>
          <w:szCs w:val="28"/>
        </w:rPr>
        <w:t>，目前其在我单位任</w:t>
      </w:r>
      <w:r>
        <w:rPr>
          <w:rFonts w:hint="eastAsia"/>
          <w:sz w:val="28"/>
          <w:szCs w:val="28"/>
          <w:u w:val="single"/>
        </w:rPr>
        <w:t xml:space="preserve">         </w:t>
      </w:r>
      <w:r>
        <w:rPr>
          <w:rFonts w:hint="eastAsia"/>
          <w:sz w:val="28"/>
          <w:szCs w:val="28"/>
        </w:rPr>
        <w:t>职位。 </w:t>
      </w:r>
    </w:p>
    <w:p>
      <w:pPr>
        <w:spacing w:line="600" w:lineRule="exact"/>
        <w:rPr>
          <w:sz w:val="28"/>
          <w:szCs w:val="28"/>
        </w:rPr>
      </w:pPr>
      <w:r>
        <w:rPr>
          <w:rFonts w:hint="eastAsia"/>
          <w:sz w:val="28"/>
          <w:szCs w:val="28"/>
        </w:rPr>
        <w:t>本单位谨此承诺上述证明是正确的、真实的，如因上述证明与事实不符，本单位将承担相应的法律责任。 </w:t>
      </w:r>
    </w:p>
    <w:p>
      <w:pPr>
        <w:spacing w:line="600" w:lineRule="exact"/>
        <w:rPr>
          <w:rFonts w:hint="eastAsia"/>
          <w:sz w:val="28"/>
          <w:szCs w:val="28"/>
          <w:lang w:val="zh-CN"/>
        </w:rPr>
      </w:pPr>
    </w:p>
    <w:p>
      <w:pPr>
        <w:spacing w:line="600" w:lineRule="exact"/>
        <w:ind w:firstLine="3920" w:firstLineChars="1400"/>
        <w:rPr>
          <w:sz w:val="28"/>
          <w:szCs w:val="28"/>
          <w:lang w:val="zh-CN"/>
        </w:rPr>
      </w:pPr>
      <w:r>
        <w:rPr>
          <w:rFonts w:hint="eastAsia"/>
          <w:sz w:val="28"/>
          <w:szCs w:val="28"/>
          <w:lang w:val="zh-CN"/>
        </w:rPr>
        <w:t>报价人（供应商）全称：</w:t>
      </w:r>
      <w:r>
        <w:rPr>
          <w:rFonts w:hint="eastAsia"/>
          <w:sz w:val="28"/>
          <w:szCs w:val="28"/>
          <w:u w:val="single"/>
        </w:rPr>
        <w:t xml:space="preserve">        </w:t>
      </w:r>
      <w:r>
        <w:rPr>
          <w:rFonts w:hint="eastAsia"/>
          <w:sz w:val="28"/>
          <w:szCs w:val="28"/>
          <w:lang w:val="zh-CN"/>
        </w:rPr>
        <w:t>（盖章）</w:t>
      </w:r>
    </w:p>
    <w:p>
      <w:pPr>
        <w:spacing w:line="600" w:lineRule="exact"/>
        <w:ind w:firstLine="5014" w:firstLineChars="1791"/>
        <w:rPr>
          <w:rFonts w:hint="eastAsia"/>
          <w:sz w:val="28"/>
          <w:szCs w:val="28"/>
          <w:lang w:val="zh-CN"/>
        </w:rPr>
      </w:pPr>
      <w:r>
        <w:rPr>
          <w:rFonts w:hint="eastAsia"/>
          <w:sz w:val="28"/>
          <w:szCs w:val="28"/>
          <w:lang w:val="zh-CN"/>
        </w:rPr>
        <w:t>日期：</w:t>
      </w:r>
      <w:r>
        <w:rPr>
          <w:rFonts w:hint="eastAsia"/>
          <w:sz w:val="28"/>
          <w:szCs w:val="28"/>
          <w:u w:val="single"/>
        </w:rPr>
        <w:t xml:space="preserve">     </w:t>
      </w:r>
      <w:r>
        <w:rPr>
          <w:rFonts w:hint="eastAsia"/>
          <w:sz w:val="28"/>
          <w:szCs w:val="28"/>
          <w:lang w:val="zh-CN"/>
        </w:rPr>
        <w:t>年</w:t>
      </w:r>
      <w:r>
        <w:rPr>
          <w:rFonts w:hint="eastAsia"/>
          <w:sz w:val="28"/>
          <w:szCs w:val="28"/>
          <w:u w:val="single"/>
          <w:lang w:val="zh-CN"/>
        </w:rPr>
        <w:t xml:space="preserve">  </w:t>
      </w:r>
      <w:r>
        <w:rPr>
          <w:rFonts w:hint="eastAsia"/>
          <w:sz w:val="28"/>
          <w:szCs w:val="28"/>
          <w:u w:val="single"/>
        </w:rPr>
        <w:t xml:space="preserve"> </w:t>
      </w:r>
      <w:r>
        <w:rPr>
          <w:rFonts w:hint="eastAsia"/>
          <w:sz w:val="28"/>
          <w:szCs w:val="28"/>
          <w:lang w:val="zh-CN"/>
        </w:rPr>
        <w:t>月</w:t>
      </w:r>
      <w:r>
        <w:rPr>
          <w:rFonts w:hint="eastAsia"/>
          <w:sz w:val="28"/>
          <w:szCs w:val="28"/>
          <w:u w:val="single"/>
          <w:lang w:val="zh-CN"/>
        </w:rPr>
        <w:t xml:space="preserve"> </w:t>
      </w:r>
      <w:r>
        <w:rPr>
          <w:rFonts w:hint="eastAsia"/>
          <w:sz w:val="28"/>
          <w:szCs w:val="28"/>
          <w:u w:val="single"/>
        </w:rPr>
        <w:t xml:space="preserve"> </w:t>
      </w:r>
      <w:r>
        <w:rPr>
          <w:rFonts w:hint="eastAsia"/>
          <w:sz w:val="28"/>
          <w:szCs w:val="28"/>
          <w:u w:val="single"/>
          <w:lang w:val="zh-CN"/>
        </w:rPr>
        <w:t xml:space="preserve"> </w:t>
      </w:r>
      <w:r>
        <w:rPr>
          <w:rFonts w:hint="eastAsia"/>
          <w:sz w:val="28"/>
          <w:szCs w:val="28"/>
          <w:lang w:val="zh-CN"/>
        </w:rPr>
        <w:t>日</w:t>
      </w:r>
    </w:p>
    <w:p>
      <w:pPr>
        <w:rPr>
          <w:rFonts w:hint="eastAsia"/>
          <w:lang w:val="zh-CN"/>
        </w:rPr>
      </w:pPr>
    </w:p>
    <w:p>
      <w:pPr>
        <w:rPr>
          <w:rFonts w:hint="eastAsia"/>
        </w:rPr>
      </w:pPr>
      <w:r>
        <w:rPr>
          <w:rFonts w:hint="eastAsia"/>
        </w:rPr>
        <w:br w:type="page"/>
      </w:r>
    </w:p>
    <w:p>
      <w:pPr>
        <w:spacing w:line="600" w:lineRule="exact"/>
        <w:rPr>
          <w:rFonts w:hint="default"/>
          <w:sz w:val="28"/>
          <w:szCs w:val="28"/>
          <w:lang w:val="en-US" w:eastAsia="zh-CN"/>
        </w:rPr>
      </w:pPr>
      <w:bookmarkStart w:id="650" w:name="_Toc5045"/>
      <w:r>
        <w:rPr>
          <w:rFonts w:hint="eastAsia"/>
          <w:sz w:val="28"/>
          <w:szCs w:val="28"/>
        </w:rPr>
        <w:t>附②：被授权人</w:t>
      </w:r>
      <w:bookmarkEnd w:id="650"/>
      <w:r>
        <w:rPr>
          <w:rFonts w:hint="eastAsia"/>
          <w:sz w:val="28"/>
          <w:szCs w:val="28"/>
          <w:lang w:val="en-US" w:eastAsia="zh-CN"/>
        </w:rPr>
        <w:t>提供报价前4个月内（不含报价当月）连续3个月由报价供应商缴纳的社保证明材料。代缴社保证明材料不予认可。</w:t>
      </w:r>
    </w:p>
    <w:p>
      <w:pPr>
        <w:spacing w:line="600" w:lineRule="exact"/>
        <w:rPr>
          <w:rFonts w:hint="eastAsia" w:ascii="宋体" w:hAnsi="宋体" w:cs="宋体"/>
          <w:lang w:val="zh-CN"/>
        </w:rPr>
      </w:pPr>
      <w:r>
        <w:rPr>
          <w:rFonts w:hint="eastAsia" w:ascii="宋体" w:hAnsi="宋体" w:cs="宋体"/>
        </w:rPr>
        <w:t>注：由</w:t>
      </w:r>
      <w:r>
        <w:rPr>
          <w:rFonts w:hint="eastAsia" w:ascii="宋体" w:hAnsi="宋体" w:cs="宋体"/>
          <w:lang w:val="zh-CN"/>
        </w:rPr>
        <w:t>报价人（供应商）自行提供。</w:t>
      </w:r>
    </w:p>
    <w:p>
      <w:pPr>
        <w:rPr>
          <w:rFonts w:hint="eastAsia" w:eastAsia="方正小标宋简体"/>
          <w:bCs/>
          <w:sz w:val="44"/>
          <w:szCs w:val="44"/>
        </w:rPr>
      </w:pPr>
      <w:bookmarkStart w:id="651" w:name="_Toc12514"/>
      <w:bookmarkStart w:id="652" w:name="_Toc6215"/>
      <w:r>
        <w:rPr>
          <w:rFonts w:hint="eastAsia" w:eastAsia="方正小标宋简体"/>
          <w:bCs/>
          <w:sz w:val="44"/>
          <w:szCs w:val="44"/>
        </w:rPr>
        <w:br w:type="page"/>
      </w:r>
    </w:p>
    <w:p>
      <w:pPr>
        <w:outlineLvl w:val="3"/>
        <w:rPr>
          <w:rFonts w:hint="eastAsia" w:eastAsia="方正小标宋简体"/>
          <w:bCs/>
          <w:sz w:val="44"/>
          <w:szCs w:val="44"/>
        </w:rPr>
      </w:pPr>
      <w:r>
        <w:rPr>
          <w:rFonts w:hint="eastAsia" w:eastAsia="方正小标宋简体"/>
          <w:bCs/>
          <w:sz w:val="44"/>
          <w:szCs w:val="44"/>
        </w:rPr>
        <w:t>附录4：</w:t>
      </w:r>
      <w:bookmarkEnd w:id="651"/>
      <w:bookmarkEnd w:id="652"/>
    </w:p>
    <w:p>
      <w:pPr>
        <w:outlineLvl w:val="9"/>
        <w:rPr>
          <w:rFonts w:hint="eastAsia" w:eastAsia="方正小标宋简体"/>
          <w:bCs/>
          <w:sz w:val="44"/>
          <w:szCs w:val="44"/>
        </w:rPr>
      </w:pPr>
      <w:bookmarkStart w:id="653" w:name="_Toc12533"/>
      <w:bookmarkStart w:id="654" w:name="_Toc29836"/>
      <w:r>
        <w:rPr>
          <w:rFonts w:hint="eastAsia" w:eastAsia="方正小标宋简体"/>
          <w:bCs/>
          <w:sz w:val="44"/>
          <w:szCs w:val="44"/>
        </w:rPr>
        <w:t>非外资</w:t>
      </w:r>
      <w:r>
        <w:rPr>
          <w:rFonts w:hint="eastAsia" w:eastAsia="方正小标宋简体"/>
          <w:bCs/>
          <w:sz w:val="44"/>
          <w:szCs w:val="44"/>
          <w:lang w:eastAsia="zh-CN"/>
        </w:rPr>
        <w:t>（</w:t>
      </w:r>
      <w:r>
        <w:rPr>
          <w:rFonts w:hint="eastAsia" w:eastAsia="方正小标宋简体"/>
          <w:bCs/>
          <w:sz w:val="44"/>
          <w:szCs w:val="44"/>
          <w:lang w:val="en-US" w:eastAsia="zh-CN"/>
        </w:rPr>
        <w:t>含港澳台</w:t>
      </w:r>
      <w:r>
        <w:rPr>
          <w:rFonts w:hint="eastAsia" w:eastAsia="方正小标宋简体"/>
          <w:bCs/>
          <w:sz w:val="44"/>
          <w:szCs w:val="44"/>
          <w:lang w:eastAsia="zh-CN"/>
        </w:rPr>
        <w:t>）</w:t>
      </w:r>
      <w:r>
        <w:rPr>
          <w:rFonts w:hint="eastAsia" w:eastAsia="方正小标宋简体"/>
          <w:bCs/>
          <w:sz w:val="44"/>
          <w:szCs w:val="44"/>
        </w:rPr>
        <w:t>独资或外资控股企业的书面声明</w:t>
      </w:r>
      <w:bookmarkEnd w:id="653"/>
      <w:bookmarkEnd w:id="654"/>
    </w:p>
    <w:p>
      <w:pPr>
        <w:autoSpaceDE w:val="0"/>
        <w:autoSpaceDN w:val="0"/>
        <w:adjustRightInd w:val="0"/>
        <w:rPr>
          <w:rFonts w:ascii="宋体" w:hAnsi="宋体"/>
        </w:rPr>
      </w:pPr>
    </w:p>
    <w:p>
      <w:pPr>
        <w:spacing w:line="600" w:lineRule="exact"/>
        <w:rPr>
          <w:rFonts w:eastAsia="楷体_GB2312"/>
          <w:sz w:val="28"/>
          <w:szCs w:val="28"/>
        </w:rPr>
      </w:pPr>
      <w:r>
        <w:rPr>
          <w:rFonts w:ascii="楷体_GB2312" w:hAnsi="宋体" w:eastAsia="楷体_GB2312"/>
          <w:sz w:val="28"/>
          <w:szCs w:val="28"/>
          <w:u w:val="single"/>
        </w:rPr>
        <w:t>（采购机构名称）</w:t>
      </w:r>
      <w:r>
        <w:rPr>
          <w:rFonts w:eastAsia="楷体_GB2312"/>
          <w:sz w:val="28"/>
          <w:szCs w:val="28"/>
        </w:rPr>
        <w:t>：</w:t>
      </w:r>
    </w:p>
    <w:p>
      <w:pPr>
        <w:spacing w:line="600" w:lineRule="exact"/>
        <w:ind w:firstLine="560" w:firstLineChars="200"/>
        <w:rPr>
          <w:sz w:val="28"/>
          <w:szCs w:val="28"/>
        </w:rPr>
      </w:pPr>
      <w:r>
        <w:rPr>
          <w:rFonts w:hint="eastAsia"/>
          <w:sz w:val="28"/>
          <w:szCs w:val="28"/>
        </w:rPr>
        <w:t>我方参加贵单位组织的（</w:t>
      </w:r>
      <w:r>
        <w:rPr>
          <w:rFonts w:hint="eastAsia"/>
          <w:sz w:val="28"/>
          <w:szCs w:val="28"/>
          <w:u w:val="single"/>
        </w:rPr>
        <w:t>项目编号、项目名称</w:t>
      </w:r>
      <w:r>
        <w:rPr>
          <w:rFonts w:hint="eastAsia"/>
          <w:sz w:val="28"/>
          <w:szCs w:val="28"/>
        </w:rPr>
        <w:t>）采购活动，在此郑重声明：我公司为非外资</w:t>
      </w:r>
      <w:r>
        <w:rPr>
          <w:rFonts w:hint="eastAsia"/>
          <w:sz w:val="28"/>
          <w:szCs w:val="28"/>
          <w:lang w:eastAsia="zh-CN"/>
        </w:rPr>
        <w:t>（</w:t>
      </w:r>
      <w:r>
        <w:rPr>
          <w:rFonts w:hint="eastAsia"/>
          <w:sz w:val="28"/>
          <w:szCs w:val="28"/>
          <w:lang w:val="en-US" w:eastAsia="zh-CN"/>
        </w:rPr>
        <w:t>含港澳台</w:t>
      </w:r>
      <w:r>
        <w:rPr>
          <w:rFonts w:hint="eastAsia"/>
          <w:sz w:val="28"/>
          <w:szCs w:val="28"/>
          <w:lang w:eastAsia="zh-CN"/>
        </w:rPr>
        <w:t>）</w:t>
      </w:r>
      <w:r>
        <w:rPr>
          <w:rFonts w:hint="eastAsia"/>
          <w:sz w:val="28"/>
          <w:szCs w:val="28"/>
        </w:rPr>
        <w:t>独资企业或外资控股企业。</w:t>
      </w:r>
    </w:p>
    <w:p>
      <w:pPr>
        <w:spacing w:line="600" w:lineRule="exact"/>
        <w:ind w:firstLine="560" w:firstLineChars="200"/>
        <w:rPr>
          <w:sz w:val="28"/>
          <w:szCs w:val="28"/>
        </w:rPr>
      </w:pPr>
      <w:r>
        <w:rPr>
          <w:rFonts w:hint="eastAsia"/>
          <w:sz w:val="28"/>
          <w:szCs w:val="28"/>
        </w:rPr>
        <w:t>如果我方违反上述声明内容，愿意承担由此导致的一切不利后果和法律责任。</w:t>
      </w:r>
    </w:p>
    <w:p>
      <w:pPr>
        <w:spacing w:line="600" w:lineRule="exact"/>
        <w:ind w:firstLine="700" w:firstLineChars="250"/>
        <w:rPr>
          <w:sz w:val="28"/>
          <w:szCs w:val="28"/>
        </w:rPr>
      </w:pPr>
      <w:r>
        <w:rPr>
          <w:rFonts w:hint="eastAsia"/>
          <w:sz w:val="28"/>
          <w:szCs w:val="28"/>
        </w:rPr>
        <w:t>特此声明！</w:t>
      </w:r>
    </w:p>
    <w:p>
      <w:pPr>
        <w:spacing w:line="560" w:lineRule="exact"/>
        <w:rPr>
          <w:sz w:val="28"/>
          <w:szCs w:val="28"/>
        </w:rPr>
      </w:pPr>
    </w:p>
    <w:p>
      <w:pPr>
        <w:spacing w:line="560" w:lineRule="exact"/>
        <w:rPr>
          <w:sz w:val="28"/>
          <w:szCs w:val="28"/>
        </w:rPr>
      </w:pPr>
    </w:p>
    <w:p>
      <w:pPr>
        <w:spacing w:line="560" w:lineRule="exact"/>
        <w:rPr>
          <w:sz w:val="28"/>
          <w:szCs w:val="28"/>
        </w:rPr>
      </w:pPr>
      <w:r>
        <w:rPr>
          <w:sz w:val="28"/>
          <w:szCs w:val="28"/>
        </w:rPr>
        <w:t xml:space="preserve">                                      </w:t>
      </w:r>
    </w:p>
    <w:p>
      <w:pPr>
        <w:spacing w:line="560" w:lineRule="exact"/>
        <w:rPr>
          <w:sz w:val="28"/>
          <w:szCs w:val="28"/>
        </w:rPr>
      </w:pPr>
    </w:p>
    <w:p>
      <w:pPr>
        <w:spacing w:line="560" w:lineRule="exact"/>
        <w:rPr>
          <w:sz w:val="28"/>
          <w:szCs w:val="28"/>
        </w:rPr>
      </w:pPr>
      <w:r>
        <w:rPr>
          <w:rFonts w:hint="eastAsia"/>
          <w:sz w:val="28"/>
          <w:szCs w:val="28"/>
        </w:rPr>
        <w:t xml:space="preserve">                           </w:t>
      </w:r>
      <w:r>
        <w:rPr>
          <w:sz w:val="28"/>
          <w:szCs w:val="28"/>
        </w:rPr>
        <w:t xml:space="preserve"> </w:t>
      </w:r>
      <w:r>
        <w:rPr>
          <w:rFonts w:hint="eastAsia"/>
          <w:sz w:val="28"/>
          <w:szCs w:val="28"/>
          <w:lang w:eastAsia="zh-CN"/>
        </w:rPr>
        <w:t>报价</w:t>
      </w:r>
      <w:r>
        <w:rPr>
          <w:rFonts w:hint="eastAsia"/>
          <w:sz w:val="28"/>
          <w:szCs w:val="28"/>
        </w:rPr>
        <w:t>供应商全称：（盖章）</w:t>
      </w:r>
    </w:p>
    <w:p>
      <w:pPr>
        <w:spacing w:line="560" w:lineRule="exact"/>
        <w:rPr>
          <w:sz w:val="28"/>
          <w:szCs w:val="28"/>
        </w:rPr>
      </w:pPr>
      <w:r>
        <w:rPr>
          <w:rFonts w:hint="eastAsia"/>
          <w:sz w:val="28"/>
          <w:szCs w:val="28"/>
        </w:rPr>
        <w:t xml:space="preserve">                            法定代表人（或授权代表）：（签字）</w:t>
      </w:r>
    </w:p>
    <w:p>
      <w:pPr>
        <w:spacing w:line="560" w:lineRule="exact"/>
        <w:rPr>
          <w:sz w:val="28"/>
          <w:szCs w:val="28"/>
        </w:rPr>
      </w:pPr>
      <w:r>
        <w:rPr>
          <w:rFonts w:hint="eastAsia"/>
          <w:sz w:val="28"/>
          <w:szCs w:val="28"/>
        </w:rPr>
        <w:t xml:space="preserve">                                              </w:t>
      </w: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outlineLvl w:val="3"/>
        <w:rPr>
          <w:rFonts w:hint="eastAsia" w:eastAsia="方正小标宋简体"/>
          <w:bCs/>
          <w:sz w:val="44"/>
          <w:szCs w:val="44"/>
        </w:rPr>
      </w:pPr>
      <w:r>
        <w:rPr>
          <w:rFonts w:eastAsia="方正小标宋简体"/>
          <w:bCs/>
          <w:sz w:val="44"/>
          <w:szCs w:val="44"/>
        </w:rPr>
        <w:br w:type="page"/>
      </w:r>
      <w:bookmarkStart w:id="655" w:name="_Toc5844"/>
      <w:bookmarkStart w:id="656" w:name="_Toc16026"/>
      <w:r>
        <w:rPr>
          <w:rFonts w:hint="eastAsia" w:eastAsia="方正小标宋简体"/>
          <w:bCs/>
          <w:sz w:val="44"/>
          <w:szCs w:val="44"/>
        </w:rPr>
        <w:t>附录5：</w:t>
      </w:r>
      <w:bookmarkEnd w:id="655"/>
      <w:bookmarkEnd w:id="656"/>
    </w:p>
    <w:p>
      <w:pPr>
        <w:jc w:val="center"/>
        <w:outlineLvl w:val="9"/>
        <w:rPr>
          <w:rFonts w:eastAsia="方正小标宋简体"/>
          <w:bCs/>
          <w:sz w:val="44"/>
          <w:szCs w:val="44"/>
        </w:rPr>
      </w:pPr>
      <w:bookmarkStart w:id="657" w:name="_Toc30573"/>
      <w:bookmarkStart w:id="658" w:name="_Toc14737"/>
      <w:r>
        <w:rPr>
          <w:rFonts w:eastAsia="方正小标宋简体"/>
          <w:bCs/>
          <w:sz w:val="44"/>
          <w:szCs w:val="44"/>
        </w:rPr>
        <w:t>主要股东或出资人信息</w:t>
      </w:r>
      <w:bookmarkEnd w:id="657"/>
      <w:bookmarkEnd w:id="658"/>
    </w:p>
    <w:tbl>
      <w:tblPr>
        <w:tblStyle w:val="4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0"/>
        <w:gridCol w:w="1287"/>
        <w:gridCol w:w="2340"/>
        <w:gridCol w:w="1404"/>
        <w:gridCol w:w="1493"/>
        <w:gridCol w:w="1315"/>
        <w:gridCol w:w="9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6" w:hRule="atLeast"/>
        </w:trPr>
        <w:tc>
          <w:tcPr>
            <w:tcW w:w="810" w:type="dxa"/>
            <w:noWrap w:val="0"/>
            <w:vAlign w:val="center"/>
          </w:tcPr>
          <w:p>
            <w:pPr>
              <w:jc w:val="center"/>
            </w:pPr>
            <w:r>
              <w:t>序号</w:t>
            </w:r>
          </w:p>
        </w:tc>
        <w:tc>
          <w:tcPr>
            <w:tcW w:w="1287" w:type="dxa"/>
            <w:noWrap w:val="0"/>
            <w:vAlign w:val="center"/>
          </w:tcPr>
          <w:p>
            <w:pPr>
              <w:jc w:val="center"/>
            </w:pPr>
            <w:r>
              <w:t>名称</w:t>
            </w:r>
          </w:p>
          <w:p>
            <w:pPr>
              <w:jc w:val="center"/>
            </w:pPr>
            <w:r>
              <w:t>（姓名）</w:t>
            </w:r>
          </w:p>
        </w:tc>
        <w:tc>
          <w:tcPr>
            <w:tcW w:w="2340" w:type="dxa"/>
            <w:noWrap w:val="0"/>
            <w:vAlign w:val="center"/>
          </w:tcPr>
          <w:p>
            <w:pPr>
              <w:jc w:val="center"/>
            </w:pPr>
            <w:r>
              <w:t>统一社会信用代码</w:t>
            </w:r>
          </w:p>
          <w:p>
            <w:pPr>
              <w:jc w:val="center"/>
            </w:pPr>
            <w:r>
              <w:t>（身份证号）</w:t>
            </w:r>
          </w:p>
        </w:tc>
        <w:tc>
          <w:tcPr>
            <w:tcW w:w="1404" w:type="dxa"/>
            <w:noWrap w:val="0"/>
            <w:vAlign w:val="center"/>
          </w:tcPr>
          <w:p>
            <w:pPr>
              <w:jc w:val="center"/>
            </w:pPr>
            <w:r>
              <w:t>出资方式</w:t>
            </w:r>
          </w:p>
        </w:tc>
        <w:tc>
          <w:tcPr>
            <w:tcW w:w="1493" w:type="dxa"/>
            <w:noWrap w:val="0"/>
            <w:vAlign w:val="center"/>
          </w:tcPr>
          <w:p>
            <w:pPr>
              <w:jc w:val="center"/>
            </w:pPr>
            <w:r>
              <w:t>出资金额</w:t>
            </w:r>
          </w:p>
          <w:p>
            <w:pPr>
              <w:jc w:val="center"/>
            </w:pPr>
            <w:r>
              <w:t>（万元）</w:t>
            </w:r>
          </w:p>
        </w:tc>
        <w:tc>
          <w:tcPr>
            <w:tcW w:w="1315" w:type="dxa"/>
            <w:noWrap w:val="0"/>
            <w:vAlign w:val="center"/>
          </w:tcPr>
          <w:p>
            <w:pPr>
              <w:jc w:val="center"/>
            </w:pPr>
            <w:r>
              <w:t>占全部股份比例</w:t>
            </w:r>
          </w:p>
        </w:tc>
        <w:tc>
          <w:tcPr>
            <w:tcW w:w="957" w:type="dxa"/>
            <w:noWrap w:val="0"/>
            <w:vAlign w:val="center"/>
          </w:tcPr>
          <w:p>
            <w:pPr>
              <w:jc w:val="center"/>
            </w:pPr>
            <w: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bl>
    <w:p>
      <w:pPr>
        <w:spacing w:line="480" w:lineRule="exact"/>
        <w:ind w:firstLine="560" w:firstLineChars="200"/>
        <w:rPr>
          <w:sz w:val="28"/>
          <w:szCs w:val="28"/>
        </w:rPr>
      </w:pPr>
      <w:r>
        <w:rPr>
          <w:rFonts w:hint="eastAsia"/>
          <w:sz w:val="28"/>
          <w:szCs w:val="28"/>
        </w:rPr>
        <w:t>我方承诺，以上信息真实可靠，如填报的股东出资额、出资比例等与实际不符，视为放弃</w:t>
      </w:r>
      <w:r>
        <w:rPr>
          <w:rFonts w:hint="eastAsia"/>
          <w:sz w:val="28"/>
          <w:szCs w:val="28"/>
          <w:lang w:eastAsia="zh-CN"/>
        </w:rPr>
        <w:t>成交</w:t>
      </w:r>
      <w:r>
        <w:rPr>
          <w:rFonts w:hint="eastAsia"/>
          <w:sz w:val="28"/>
          <w:szCs w:val="28"/>
        </w:rPr>
        <w:t>资格。</w:t>
      </w:r>
    </w:p>
    <w:p>
      <w:pPr>
        <w:spacing w:line="480" w:lineRule="exact"/>
        <w:ind w:firstLine="560" w:firstLineChars="200"/>
        <w:rPr>
          <w:rFonts w:hint="eastAsia"/>
          <w:sz w:val="28"/>
          <w:szCs w:val="28"/>
        </w:rPr>
      </w:pPr>
    </w:p>
    <w:p>
      <w:pPr>
        <w:snapToGrid w:val="0"/>
        <w:spacing w:line="440" w:lineRule="exact"/>
        <w:ind w:left="840" w:hanging="840" w:hangingChars="300"/>
        <w:rPr>
          <w:rFonts w:hint="eastAsia" w:ascii="宋体" w:hAnsi="宋体"/>
          <w:sz w:val="28"/>
          <w:szCs w:val="28"/>
        </w:rPr>
      </w:pPr>
      <w:r>
        <w:rPr>
          <w:rFonts w:hint="eastAsia" w:ascii="宋体" w:hAnsi="宋体"/>
          <w:sz w:val="28"/>
          <w:szCs w:val="28"/>
        </w:rPr>
        <w:t>备</w:t>
      </w:r>
      <w:r>
        <w:rPr>
          <w:rFonts w:ascii="宋体" w:hAnsi="宋体"/>
          <w:sz w:val="28"/>
          <w:szCs w:val="28"/>
        </w:rPr>
        <w:t>注：</w:t>
      </w:r>
    </w:p>
    <w:p>
      <w:pPr>
        <w:spacing w:line="480" w:lineRule="exact"/>
        <w:ind w:firstLine="560" w:firstLineChars="200"/>
        <w:rPr>
          <w:sz w:val="28"/>
          <w:szCs w:val="28"/>
        </w:rPr>
      </w:pPr>
      <w:r>
        <w:rPr>
          <w:sz w:val="28"/>
          <w:szCs w:val="28"/>
        </w:rPr>
        <w:t>1.主要股东或出资人为法人的，填写法人全称及统一社会信用代码（尚未办理三证合一的填写组织机构代码）；为自然人的，填写自然人姓名和身份证号。</w:t>
      </w:r>
    </w:p>
    <w:p>
      <w:pPr>
        <w:spacing w:line="480" w:lineRule="exact"/>
        <w:ind w:firstLine="560" w:firstLineChars="200"/>
        <w:rPr>
          <w:rFonts w:hint="eastAsia"/>
          <w:sz w:val="28"/>
          <w:szCs w:val="28"/>
        </w:rPr>
      </w:pPr>
      <w:r>
        <w:rPr>
          <w:rFonts w:hint="eastAsia"/>
          <w:sz w:val="28"/>
          <w:szCs w:val="28"/>
        </w:rPr>
        <w:t>2.</w:t>
      </w:r>
      <w:r>
        <w:rPr>
          <w:sz w:val="28"/>
          <w:szCs w:val="28"/>
        </w:rPr>
        <w:t>出资方式填写货币、实物、工艺产权和非专利技术、土地使用权等</w:t>
      </w:r>
      <w:r>
        <w:rPr>
          <w:rFonts w:hint="eastAsia"/>
          <w:sz w:val="28"/>
          <w:szCs w:val="28"/>
        </w:rPr>
        <w:t>。</w:t>
      </w:r>
    </w:p>
    <w:p>
      <w:pPr>
        <w:spacing w:line="480" w:lineRule="exact"/>
        <w:ind w:firstLine="560" w:firstLineChars="200"/>
        <w:rPr>
          <w:sz w:val="28"/>
          <w:szCs w:val="28"/>
        </w:rPr>
      </w:pPr>
      <w:r>
        <w:rPr>
          <w:rFonts w:hint="eastAsia"/>
          <w:sz w:val="28"/>
          <w:szCs w:val="28"/>
        </w:rPr>
        <w:t>3.</w:t>
      </w:r>
      <w:r>
        <w:rPr>
          <w:rFonts w:hint="eastAsia"/>
          <w:sz w:val="28"/>
          <w:szCs w:val="28"/>
          <w:lang w:eastAsia="zh-CN"/>
        </w:rPr>
        <w:t>报价</w:t>
      </w:r>
      <w:r>
        <w:rPr>
          <w:sz w:val="28"/>
          <w:szCs w:val="28"/>
        </w:rPr>
        <w:t>供应商应按照占全部股份比例从大到小依次逐个股东填写，</w:t>
      </w:r>
      <w:r>
        <w:rPr>
          <w:rFonts w:hint="eastAsia"/>
          <w:sz w:val="28"/>
          <w:szCs w:val="28"/>
        </w:rPr>
        <w:t>股东 数量多于10个的，填写前10名，不足10个的全部填写。</w:t>
      </w:r>
    </w:p>
    <w:p>
      <w:pPr>
        <w:spacing w:line="480" w:lineRule="exact"/>
        <w:ind w:left="525" w:leftChars="200" w:hanging="105" w:hangingChars="50"/>
      </w:pPr>
    </w:p>
    <w:p>
      <w:pPr>
        <w:spacing w:line="480" w:lineRule="exact"/>
        <w:ind w:left="525" w:leftChars="200" w:hanging="105" w:hangingChars="50"/>
      </w:pPr>
    </w:p>
    <w:p>
      <w:pPr>
        <w:spacing w:line="480" w:lineRule="exact"/>
        <w:ind w:left="525" w:leftChars="200" w:hanging="105" w:hangingChars="50"/>
      </w:pPr>
    </w:p>
    <w:p>
      <w:pPr>
        <w:spacing w:line="480" w:lineRule="exact"/>
        <w:ind w:left="525" w:leftChars="200" w:hanging="105" w:hangingChars="50"/>
        <w:rPr>
          <w:rFonts w:hint="eastAsia"/>
        </w:rPr>
      </w:pPr>
    </w:p>
    <w:p>
      <w:pPr>
        <w:jc w:val="center"/>
        <w:rPr>
          <w:sz w:val="28"/>
          <w:szCs w:val="28"/>
          <w:lang w:val="zh-CN"/>
        </w:rPr>
      </w:pPr>
      <w:r>
        <w:rPr>
          <w:rFonts w:hint="eastAsia"/>
          <w:sz w:val="28"/>
          <w:szCs w:val="28"/>
          <w:lang w:val="zh-CN"/>
        </w:rPr>
        <w:t xml:space="preserve">    报价</w:t>
      </w:r>
      <w:r>
        <w:rPr>
          <w:sz w:val="28"/>
          <w:szCs w:val="28"/>
          <w:lang w:val="zh-CN"/>
        </w:rPr>
        <w:t>供应商全称：（盖章）</w:t>
      </w:r>
    </w:p>
    <w:p>
      <w:pPr>
        <w:jc w:val="center"/>
        <w:rPr>
          <w:sz w:val="28"/>
          <w:szCs w:val="28"/>
          <w:lang w:val="zh-CN"/>
        </w:rPr>
      </w:pPr>
    </w:p>
    <w:p>
      <w:pPr>
        <w:jc w:val="center"/>
        <w:rPr>
          <w:sz w:val="28"/>
          <w:szCs w:val="28"/>
          <w:lang w:val="zh-CN"/>
        </w:rPr>
      </w:pPr>
      <w:r>
        <w:rPr>
          <w:sz w:val="28"/>
          <w:szCs w:val="28"/>
          <w:lang w:val="zh-CN"/>
        </w:rPr>
        <w:t xml:space="preserve">              法定代表人（或授权代表）：（签字）</w:t>
      </w:r>
    </w:p>
    <w:p>
      <w:pPr>
        <w:rPr>
          <w:sz w:val="28"/>
          <w:szCs w:val="28"/>
          <w:lang w:val="zh-CN"/>
        </w:rPr>
      </w:pPr>
    </w:p>
    <w:p>
      <w:pPr>
        <w:ind w:firstLine="5740" w:firstLineChars="2050"/>
        <w:rPr>
          <w:rFonts w:eastAsia="黑体"/>
          <w:sz w:val="28"/>
          <w:szCs w:val="28"/>
        </w:rPr>
      </w:pP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spacing w:line="560" w:lineRule="exact"/>
        <w:outlineLvl w:val="3"/>
        <w:rPr>
          <w:rFonts w:hint="eastAsia" w:ascii="方正小标宋简体" w:hAnsi="宋体" w:eastAsia="方正小标宋简体"/>
          <w:sz w:val="44"/>
          <w:szCs w:val="44"/>
        </w:rPr>
      </w:pPr>
      <w:r>
        <w:br w:type="page"/>
      </w:r>
      <w:bookmarkStart w:id="659" w:name="_Toc7208"/>
      <w:bookmarkStart w:id="660" w:name="_Toc13426"/>
      <w:r>
        <w:rPr>
          <w:rFonts w:hint="eastAsia" w:ascii="方正小标宋简体" w:hAnsi="宋体" w:eastAsia="方正小标宋简体"/>
          <w:sz w:val="44"/>
          <w:szCs w:val="44"/>
        </w:rPr>
        <w:t>附录6：</w:t>
      </w:r>
      <w:bookmarkEnd w:id="659"/>
      <w:bookmarkEnd w:id="660"/>
    </w:p>
    <w:p>
      <w:pPr>
        <w:spacing w:line="560" w:lineRule="exact"/>
        <w:jc w:val="center"/>
        <w:outlineLvl w:val="9"/>
        <w:rPr>
          <w:rFonts w:ascii="方正小标宋简体" w:hAnsi="宋体" w:eastAsia="方正小标宋简体"/>
          <w:sz w:val="44"/>
          <w:szCs w:val="44"/>
        </w:rPr>
      </w:pPr>
      <w:bookmarkStart w:id="661" w:name="_Toc19812"/>
      <w:bookmarkStart w:id="662" w:name="_Toc31834"/>
      <w:r>
        <w:rPr>
          <w:rFonts w:hint="eastAsia" w:ascii="方正小标宋简体" w:hAnsi="宋体" w:eastAsia="方正小标宋简体"/>
          <w:sz w:val="44"/>
          <w:szCs w:val="44"/>
        </w:rPr>
        <w:t>未被列入违法失信名单承诺书</w:t>
      </w:r>
      <w:bookmarkEnd w:id="661"/>
      <w:bookmarkEnd w:id="662"/>
    </w:p>
    <w:p>
      <w:pPr>
        <w:spacing w:line="240" w:lineRule="exact"/>
        <w:rPr>
          <w:rFonts w:ascii="宋体" w:hAnsi="宋体"/>
          <w:sz w:val="32"/>
          <w:szCs w:val="32"/>
        </w:rPr>
      </w:pPr>
    </w:p>
    <w:p>
      <w:pPr>
        <w:spacing w:line="520" w:lineRule="exact"/>
        <w:rPr>
          <w:rFonts w:eastAsia="楷体"/>
          <w:snapToGrid w:val="0"/>
          <w:sz w:val="28"/>
          <w:szCs w:val="28"/>
        </w:rPr>
      </w:pPr>
      <w:r>
        <w:rPr>
          <w:rFonts w:ascii="楷体_GB2312" w:hAnsi="宋体" w:eastAsia="楷体_GB2312"/>
          <w:sz w:val="28"/>
          <w:szCs w:val="28"/>
          <w:u w:val="single"/>
        </w:rPr>
        <w:t>（采购机构名称）</w:t>
      </w:r>
      <w:r>
        <w:rPr>
          <w:rFonts w:eastAsia="MS Gothic"/>
          <w:snapToGrid w:val="0"/>
          <w:sz w:val="28"/>
          <w:szCs w:val="28"/>
        </w:rPr>
        <w:t>：</w:t>
      </w:r>
    </w:p>
    <w:p>
      <w:pPr>
        <w:autoSpaceDE w:val="0"/>
        <w:autoSpaceDN w:val="0"/>
        <w:adjustRightInd w:val="0"/>
        <w:spacing w:line="360" w:lineRule="auto"/>
        <w:ind w:firstLine="560" w:firstLineChars="200"/>
        <w:rPr>
          <w:sz w:val="28"/>
          <w:szCs w:val="28"/>
          <w:lang w:val="zh-CN"/>
        </w:rPr>
      </w:pPr>
      <w:r>
        <w:rPr>
          <w:sz w:val="28"/>
          <w:szCs w:val="28"/>
          <w:lang w:val="zh-CN"/>
        </w:rPr>
        <w:t>我方</w:t>
      </w:r>
      <w:r>
        <w:rPr>
          <w:rFonts w:hint="eastAsia"/>
          <w:sz w:val="28"/>
          <w:szCs w:val="28"/>
          <w:lang w:val="zh-CN"/>
        </w:rPr>
        <w:t>参加贵单位组织的编号为</w:t>
      </w:r>
      <w:r>
        <w:rPr>
          <w:sz w:val="28"/>
          <w:szCs w:val="28"/>
          <w:lang w:val="zh-CN"/>
        </w:rPr>
        <w:t xml:space="preserve"> </w:t>
      </w:r>
      <w:r>
        <w:rPr>
          <w:sz w:val="28"/>
          <w:szCs w:val="28"/>
          <w:u w:val="single"/>
          <w:lang w:val="zh-CN"/>
        </w:rPr>
        <w:t xml:space="preserve">           </w:t>
      </w:r>
      <w:r>
        <w:rPr>
          <w:rFonts w:hint="eastAsia"/>
          <w:sz w:val="28"/>
          <w:szCs w:val="28"/>
          <w:u w:val="single"/>
          <w:lang w:val="zh-CN"/>
        </w:rPr>
        <w:t>、</w:t>
      </w:r>
      <w:r>
        <w:rPr>
          <w:sz w:val="28"/>
          <w:szCs w:val="28"/>
          <w:u w:val="single"/>
          <w:lang w:val="zh-CN"/>
        </w:rPr>
        <w:t xml:space="preserve">            </w:t>
      </w:r>
      <w:r>
        <w:rPr>
          <w:rFonts w:hint="eastAsia"/>
          <w:sz w:val="28"/>
          <w:szCs w:val="28"/>
          <w:lang w:val="zh-CN"/>
        </w:rPr>
        <w:t>项目采购活动，</w:t>
      </w:r>
      <w:r>
        <w:rPr>
          <w:rFonts w:hint="eastAsia"/>
          <w:sz w:val="28"/>
          <w:szCs w:val="28"/>
        </w:rPr>
        <w:t>在此郑重承诺如下</w:t>
      </w:r>
      <w:r>
        <w:rPr>
          <w:rFonts w:hint="eastAsia"/>
          <w:sz w:val="28"/>
          <w:szCs w:val="28"/>
          <w:lang w:val="zh-CN"/>
        </w:rPr>
        <w:t>：</w:t>
      </w:r>
    </w:p>
    <w:p>
      <w:pPr>
        <w:autoSpaceDE w:val="0"/>
        <w:autoSpaceDN w:val="0"/>
        <w:adjustRightInd w:val="0"/>
        <w:spacing w:line="360" w:lineRule="auto"/>
        <w:ind w:firstLine="560" w:firstLineChars="200"/>
        <w:rPr>
          <w:rFonts w:hint="eastAsia" w:ascii="宋体" w:hAnsi="宋体"/>
          <w:sz w:val="28"/>
          <w:szCs w:val="28"/>
          <w:lang w:val="zh-CN"/>
        </w:rPr>
      </w:pPr>
      <w:r>
        <w:rPr>
          <w:rFonts w:hint="eastAsia" w:ascii="宋体" w:hAnsi="宋体"/>
          <w:sz w:val="28"/>
          <w:szCs w:val="28"/>
        </w:rPr>
        <w:t>未被“信用中国”网站列入失信被执行人、重大税收违法案件当事人名单，未被列入政府采购严重失信行为记录名单，未被列入军队供应商暂停名单、未在军队采购供应商失信名单禁入处罚期内、未被列入我院违规调查处理名单中，近三年内未在“国家企业信用信息公示系统”上有与医疗设备相关的不良记录。</w:t>
      </w:r>
    </w:p>
    <w:p>
      <w:pPr>
        <w:autoSpaceDE w:val="0"/>
        <w:autoSpaceDN w:val="0"/>
        <w:adjustRightInd w:val="0"/>
        <w:spacing w:line="360" w:lineRule="auto"/>
        <w:rPr>
          <w:sz w:val="28"/>
          <w:szCs w:val="28"/>
          <w:lang w:val="zh-CN"/>
        </w:rPr>
      </w:pPr>
    </w:p>
    <w:p>
      <w:pPr>
        <w:autoSpaceDE w:val="0"/>
        <w:autoSpaceDN w:val="0"/>
        <w:adjustRightInd w:val="0"/>
        <w:spacing w:line="360" w:lineRule="auto"/>
        <w:ind w:firstLine="560" w:firstLineChars="200"/>
        <w:rPr>
          <w:sz w:val="28"/>
          <w:szCs w:val="28"/>
          <w:lang w:val="zh-CN"/>
        </w:rPr>
      </w:pPr>
      <w:r>
        <w:rPr>
          <w:rFonts w:hint="eastAsia"/>
          <w:sz w:val="28"/>
          <w:szCs w:val="28"/>
          <w:lang w:val="zh-CN"/>
        </w:rPr>
        <w:t>违反上述承诺，愿承担一切法律责任，接受军队采购管理部门和采购机构按国家和军队规定作出的相关处罚。</w:t>
      </w:r>
    </w:p>
    <w:p>
      <w:pPr>
        <w:autoSpaceDE w:val="0"/>
        <w:autoSpaceDN w:val="0"/>
        <w:adjustRightInd w:val="0"/>
        <w:spacing w:line="360" w:lineRule="auto"/>
        <w:ind w:firstLine="560" w:firstLineChars="200"/>
        <w:rPr>
          <w:sz w:val="28"/>
          <w:szCs w:val="28"/>
          <w:lang w:val="zh-CN"/>
        </w:rPr>
      </w:pPr>
    </w:p>
    <w:p>
      <w:pPr>
        <w:autoSpaceDE w:val="0"/>
        <w:autoSpaceDN w:val="0"/>
        <w:adjustRightInd w:val="0"/>
        <w:spacing w:line="360" w:lineRule="auto"/>
        <w:ind w:firstLine="560" w:firstLineChars="200"/>
        <w:rPr>
          <w:sz w:val="28"/>
          <w:szCs w:val="28"/>
          <w:lang w:val="zh-CN"/>
        </w:rPr>
      </w:pPr>
    </w:p>
    <w:p>
      <w:pPr>
        <w:autoSpaceDE w:val="0"/>
        <w:autoSpaceDN w:val="0"/>
        <w:adjustRightInd w:val="0"/>
        <w:spacing w:line="360" w:lineRule="auto"/>
        <w:ind w:firstLine="560" w:firstLineChars="200"/>
        <w:rPr>
          <w:sz w:val="28"/>
          <w:szCs w:val="28"/>
          <w:lang w:val="zh-CN"/>
        </w:rPr>
      </w:pPr>
    </w:p>
    <w:p>
      <w:pPr>
        <w:spacing w:line="360" w:lineRule="auto"/>
        <w:rPr>
          <w:rFonts w:hint="eastAsia"/>
          <w:sz w:val="28"/>
          <w:szCs w:val="28"/>
          <w:lang w:val="zh-CN"/>
        </w:rPr>
      </w:pPr>
    </w:p>
    <w:p>
      <w:pPr>
        <w:spacing w:line="360" w:lineRule="auto"/>
        <w:ind w:firstLine="1125" w:firstLineChars="402"/>
        <w:rPr>
          <w:sz w:val="28"/>
          <w:szCs w:val="28"/>
          <w:lang w:val="zh-CN"/>
        </w:rPr>
      </w:pPr>
      <w:r>
        <w:rPr>
          <w:sz w:val="28"/>
          <w:szCs w:val="28"/>
          <w:lang w:val="zh-CN"/>
        </w:rPr>
        <w:t xml:space="preserve">                </w:t>
      </w:r>
      <w:r>
        <w:rPr>
          <w:rFonts w:hint="eastAsia"/>
          <w:sz w:val="28"/>
          <w:szCs w:val="28"/>
          <w:lang w:val="zh-CN"/>
        </w:rPr>
        <w:t xml:space="preserve"> </w:t>
      </w:r>
      <w:r>
        <w:rPr>
          <w:sz w:val="28"/>
          <w:szCs w:val="28"/>
          <w:lang w:val="zh-CN"/>
        </w:rPr>
        <w:t xml:space="preserve"> </w:t>
      </w:r>
      <w:r>
        <w:rPr>
          <w:rFonts w:hint="eastAsia"/>
          <w:sz w:val="28"/>
          <w:szCs w:val="28"/>
          <w:lang w:val="zh-CN"/>
        </w:rPr>
        <w:t>报价供应商全称：（盖章）</w:t>
      </w:r>
    </w:p>
    <w:p>
      <w:pPr>
        <w:spacing w:line="360" w:lineRule="auto"/>
        <w:ind w:firstLine="3640" w:firstLineChars="1300"/>
        <w:rPr>
          <w:sz w:val="28"/>
          <w:szCs w:val="28"/>
          <w:lang w:val="zh-CN"/>
        </w:rPr>
      </w:pPr>
      <w:r>
        <w:rPr>
          <w:rFonts w:hint="eastAsia"/>
          <w:sz w:val="28"/>
          <w:szCs w:val="28"/>
          <w:lang w:val="zh-CN"/>
        </w:rPr>
        <w:t>法定代表人（或授权代表）：（签字）</w:t>
      </w:r>
      <w:r>
        <w:rPr>
          <w:sz w:val="28"/>
          <w:szCs w:val="28"/>
          <w:lang w:val="zh-CN"/>
        </w:rPr>
        <w:t xml:space="preserve">   </w:t>
      </w:r>
    </w:p>
    <w:p>
      <w:pPr>
        <w:autoSpaceDE w:val="0"/>
        <w:autoSpaceDN w:val="0"/>
        <w:adjustRightInd w:val="0"/>
      </w:pPr>
      <w:r>
        <w:rPr>
          <w:rFonts w:hint="eastAsia"/>
          <w:sz w:val="28"/>
          <w:szCs w:val="28"/>
        </w:rPr>
        <w:t xml:space="preserve">                                           </w:t>
      </w: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rPr>
          <w:rFonts w:hint="eastAsia" w:ascii="方正小标宋简体" w:hAnsi="宋体" w:eastAsia="方正小标宋简体"/>
          <w:sz w:val="44"/>
          <w:szCs w:val="44"/>
        </w:rPr>
      </w:pPr>
      <w:bookmarkStart w:id="663" w:name="_Toc31889"/>
      <w:bookmarkStart w:id="664" w:name="_Toc3392"/>
      <w:r>
        <w:rPr>
          <w:rFonts w:hint="eastAsia" w:ascii="方正小标宋简体" w:hAnsi="宋体" w:eastAsia="方正小标宋简体"/>
          <w:sz w:val="44"/>
          <w:szCs w:val="44"/>
        </w:rPr>
        <w:br w:type="page"/>
      </w:r>
    </w:p>
    <w:p>
      <w:pPr>
        <w:tabs>
          <w:tab w:val="left" w:pos="0"/>
        </w:tabs>
        <w:spacing w:line="560" w:lineRule="exact"/>
        <w:outlineLvl w:val="3"/>
        <w:rPr>
          <w:rFonts w:hint="eastAsia" w:ascii="方正小标宋简体" w:hAnsi="宋体" w:eastAsia="方正小标宋简体"/>
          <w:sz w:val="44"/>
          <w:szCs w:val="44"/>
        </w:rPr>
      </w:pPr>
      <w:r>
        <w:rPr>
          <w:rFonts w:hint="eastAsia" w:ascii="方正小标宋简体" w:hAnsi="宋体" w:eastAsia="方正小标宋简体"/>
          <w:sz w:val="44"/>
          <w:szCs w:val="44"/>
        </w:rPr>
        <w:t>附录7：</w:t>
      </w:r>
      <w:bookmarkEnd w:id="663"/>
      <w:bookmarkEnd w:id="664"/>
    </w:p>
    <w:p>
      <w:pPr>
        <w:tabs>
          <w:tab w:val="left" w:pos="0"/>
        </w:tabs>
        <w:spacing w:line="560" w:lineRule="exact"/>
        <w:jc w:val="center"/>
        <w:outlineLvl w:val="9"/>
        <w:rPr>
          <w:rFonts w:hint="eastAsia" w:ascii="宋体" w:hAnsi="宋体"/>
          <w:sz w:val="28"/>
          <w:szCs w:val="28"/>
        </w:rPr>
      </w:pPr>
      <w:bookmarkStart w:id="665" w:name="_Toc12150"/>
      <w:bookmarkStart w:id="666" w:name="_Toc32129"/>
      <w:r>
        <w:rPr>
          <w:rFonts w:hint="eastAsia" w:ascii="方正小标宋简体" w:hAnsi="宋体" w:eastAsia="方正小标宋简体"/>
          <w:sz w:val="44"/>
          <w:szCs w:val="44"/>
        </w:rPr>
        <w:t>本项目特定资质</w:t>
      </w:r>
      <w:bookmarkEnd w:id="665"/>
      <w:bookmarkEnd w:id="666"/>
    </w:p>
    <w:p>
      <w:pPr>
        <w:tabs>
          <w:tab w:val="left" w:pos="0"/>
        </w:tabs>
        <w:spacing w:line="560" w:lineRule="exact"/>
        <w:ind w:firstLine="560" w:firstLineChars="200"/>
        <w:rPr>
          <w:rFonts w:hint="eastAsia" w:ascii="宋体" w:hAnsi="宋体"/>
          <w:sz w:val="28"/>
          <w:szCs w:val="28"/>
        </w:rPr>
      </w:pPr>
      <w:r>
        <w:rPr>
          <w:rFonts w:hint="eastAsia" w:ascii="宋体" w:hAnsi="宋体"/>
          <w:sz w:val="28"/>
          <w:szCs w:val="28"/>
        </w:rPr>
        <w:t>1.</w:t>
      </w:r>
      <w:r>
        <w:rPr>
          <w:rFonts w:hint="eastAsia" w:ascii="宋体" w:hAnsi="宋体"/>
          <w:sz w:val="28"/>
          <w:szCs w:val="28"/>
          <w:lang w:eastAsia="zh-CN"/>
        </w:rPr>
        <w:t>报价</w:t>
      </w:r>
      <w:r>
        <w:rPr>
          <w:rFonts w:hint="eastAsia" w:ascii="宋体" w:hAnsi="宋体"/>
          <w:sz w:val="28"/>
          <w:szCs w:val="28"/>
        </w:rPr>
        <w:t>产品必须是</w:t>
      </w:r>
      <w:r>
        <w:rPr>
          <w:rFonts w:hint="eastAsia" w:ascii="宋体" w:hAnsi="宋体"/>
          <w:sz w:val="28"/>
          <w:szCs w:val="28"/>
          <w:lang w:eastAsia="zh-CN"/>
        </w:rPr>
        <w:t>报价</w:t>
      </w:r>
      <w:r>
        <w:rPr>
          <w:rFonts w:hint="eastAsia" w:ascii="宋体" w:hAnsi="宋体"/>
          <w:sz w:val="28"/>
          <w:szCs w:val="28"/>
        </w:rPr>
        <w:t>人主营或主营范围，以</w:t>
      </w:r>
      <w:r>
        <w:rPr>
          <w:rFonts w:hint="eastAsia" w:ascii="宋体" w:hAnsi="宋体"/>
          <w:sz w:val="28"/>
          <w:szCs w:val="28"/>
          <w:lang w:eastAsia="zh-CN"/>
        </w:rPr>
        <w:t>报价</w:t>
      </w:r>
      <w:r>
        <w:rPr>
          <w:rFonts w:hint="eastAsia" w:ascii="宋体" w:hAnsi="宋体"/>
          <w:sz w:val="28"/>
          <w:szCs w:val="28"/>
        </w:rPr>
        <w:t>人提供的营业执照（事业单位法人证书）或生产许可证或经营许可证或备案凭证等证明材料为准。</w:t>
      </w:r>
    </w:p>
    <w:p>
      <w:pPr>
        <w:tabs>
          <w:tab w:val="left" w:pos="0"/>
        </w:tabs>
        <w:spacing w:line="560" w:lineRule="exact"/>
        <w:ind w:firstLine="560" w:firstLineChars="200"/>
        <w:rPr>
          <w:rFonts w:hint="eastAsia" w:ascii="宋体" w:hAnsi="宋体"/>
          <w:sz w:val="28"/>
          <w:szCs w:val="28"/>
        </w:rPr>
      </w:pPr>
      <w:r>
        <w:rPr>
          <w:rFonts w:hint="eastAsia" w:ascii="宋体" w:hAnsi="宋体"/>
          <w:sz w:val="28"/>
          <w:szCs w:val="28"/>
        </w:rPr>
        <w:t>2.1</w:t>
      </w:r>
      <w:r>
        <w:rPr>
          <w:rFonts w:hint="eastAsia" w:ascii="宋体" w:hAnsi="宋体"/>
          <w:sz w:val="28"/>
          <w:szCs w:val="28"/>
          <w:lang w:eastAsia="zh-CN"/>
        </w:rPr>
        <w:t>报价</w:t>
      </w:r>
      <w:r>
        <w:rPr>
          <w:rFonts w:hint="eastAsia" w:ascii="宋体" w:hAnsi="宋体"/>
          <w:sz w:val="28"/>
          <w:szCs w:val="28"/>
        </w:rPr>
        <w:t>人如为生产厂家，则须提供营业执照，医疗器械生产许可证或医疗器械生产备案凭证，以及医疗器械经营许可证或医疗器械经营备案凭证；</w:t>
      </w:r>
    </w:p>
    <w:p>
      <w:pPr>
        <w:tabs>
          <w:tab w:val="left" w:pos="0"/>
        </w:tabs>
        <w:spacing w:line="560" w:lineRule="exact"/>
        <w:ind w:firstLine="560" w:firstLineChars="200"/>
        <w:rPr>
          <w:rFonts w:hint="eastAsia" w:ascii="宋体" w:hAnsi="宋体" w:eastAsia="宋体"/>
          <w:sz w:val="28"/>
          <w:szCs w:val="28"/>
          <w:lang w:eastAsia="zh-CN"/>
        </w:rPr>
      </w:pPr>
      <w:r>
        <w:rPr>
          <w:rFonts w:hint="eastAsia" w:ascii="宋体" w:hAnsi="宋体"/>
          <w:sz w:val="28"/>
          <w:szCs w:val="28"/>
        </w:rPr>
        <w:t>2.2</w:t>
      </w:r>
      <w:r>
        <w:rPr>
          <w:rFonts w:hint="eastAsia" w:ascii="宋体" w:hAnsi="宋体"/>
          <w:sz w:val="28"/>
          <w:szCs w:val="28"/>
          <w:lang w:eastAsia="zh-CN"/>
        </w:rPr>
        <w:t>报价</w:t>
      </w:r>
      <w:r>
        <w:rPr>
          <w:rFonts w:hint="eastAsia" w:ascii="宋体" w:hAnsi="宋体"/>
          <w:sz w:val="28"/>
          <w:szCs w:val="28"/>
        </w:rPr>
        <w:t>人如为产品代理商，须提供所投产品生产厂家的营业执照、医疗器械生产许可证或医疗器械生产备案凭证（</w:t>
      </w:r>
      <w:r>
        <w:rPr>
          <w:rFonts w:hint="eastAsia" w:ascii="宋体" w:hAnsi="宋体"/>
          <w:sz w:val="28"/>
          <w:szCs w:val="28"/>
          <w:lang w:eastAsia="zh-CN"/>
        </w:rPr>
        <w:t>进口产品除外</w:t>
      </w:r>
      <w:r>
        <w:rPr>
          <w:rFonts w:hint="eastAsia" w:ascii="宋体" w:hAnsi="宋体"/>
          <w:sz w:val="28"/>
          <w:szCs w:val="28"/>
        </w:rPr>
        <w:t>）</w:t>
      </w:r>
      <w:r>
        <w:rPr>
          <w:rFonts w:hint="eastAsia" w:ascii="宋体" w:hAnsi="宋体"/>
          <w:sz w:val="28"/>
          <w:szCs w:val="28"/>
          <w:lang w:eastAsia="zh-CN"/>
        </w:rPr>
        <w:t>，</w:t>
      </w:r>
      <w:r>
        <w:rPr>
          <w:rFonts w:hint="eastAsia" w:ascii="宋体" w:hAnsi="宋体"/>
          <w:sz w:val="28"/>
          <w:szCs w:val="28"/>
        </w:rPr>
        <w:t>各级代理商及</w:t>
      </w:r>
      <w:r>
        <w:rPr>
          <w:rFonts w:hint="eastAsia" w:ascii="宋体" w:hAnsi="宋体"/>
          <w:sz w:val="28"/>
          <w:szCs w:val="28"/>
          <w:lang w:eastAsia="zh-CN"/>
        </w:rPr>
        <w:t>报价</w:t>
      </w:r>
      <w:r>
        <w:rPr>
          <w:rFonts w:hint="eastAsia" w:ascii="宋体" w:hAnsi="宋体"/>
          <w:sz w:val="28"/>
          <w:szCs w:val="28"/>
        </w:rPr>
        <w:t>人还须提供营业执照、医疗器械经营许可证（备案凭证）</w:t>
      </w:r>
      <w:r>
        <w:rPr>
          <w:rFonts w:hint="eastAsia" w:ascii="宋体" w:hAnsi="宋体"/>
          <w:sz w:val="28"/>
          <w:szCs w:val="28"/>
          <w:lang w:eastAsia="zh-CN"/>
        </w:rPr>
        <w:t>。</w:t>
      </w:r>
    </w:p>
    <w:p>
      <w:pPr>
        <w:tabs>
          <w:tab w:val="left" w:pos="0"/>
        </w:tabs>
        <w:spacing w:line="560" w:lineRule="exact"/>
        <w:ind w:firstLine="560" w:firstLineChars="200"/>
        <w:rPr>
          <w:rFonts w:hint="eastAsia" w:ascii="宋体" w:hAnsi="宋体" w:eastAsia="宋体" w:cs="Times New Roman"/>
          <w:sz w:val="28"/>
          <w:szCs w:val="28"/>
          <w:lang w:eastAsia="zh-CN"/>
        </w:rPr>
      </w:pPr>
      <w:r>
        <w:rPr>
          <w:rFonts w:hint="eastAsia" w:ascii="宋体" w:hAnsi="宋体" w:eastAsia="宋体" w:cs="Times New Roman"/>
          <w:sz w:val="28"/>
          <w:szCs w:val="28"/>
          <w:lang w:val="en-US" w:eastAsia="zh-CN"/>
        </w:rPr>
        <w:t>2.3</w:t>
      </w:r>
      <w:r>
        <w:rPr>
          <w:rFonts w:hint="eastAsia" w:ascii="宋体" w:hAnsi="宋体" w:eastAsia="宋体" w:cs="Times New Roman"/>
          <w:sz w:val="28"/>
          <w:szCs w:val="28"/>
        </w:rPr>
        <w:t>如为进口产品，需提供全国总代理授予的代理授权书（若为外文授权书则需提供中文翻译件）；并同时需提供所投产品制造商给全国总代理的授权或关系说明（包括各级授权人出具的授权书</w:t>
      </w:r>
      <w:r>
        <w:rPr>
          <w:rFonts w:hint="eastAsia" w:ascii="宋体" w:hAnsi="宋体" w:eastAsia="宋体" w:cs="Times New Roman"/>
          <w:sz w:val="28"/>
          <w:szCs w:val="28"/>
          <w:lang w:eastAsia="zh-CN"/>
        </w:rPr>
        <w:t>，资质证明材料需追溯至国内总代</w:t>
      </w:r>
      <w:r>
        <w:rPr>
          <w:rFonts w:hint="eastAsia" w:ascii="宋体" w:hAnsi="宋体" w:eastAsia="宋体" w:cs="Times New Roman"/>
          <w:sz w:val="28"/>
          <w:szCs w:val="28"/>
        </w:rPr>
        <w:t>）。</w:t>
      </w:r>
    </w:p>
    <w:p>
      <w:pPr>
        <w:numPr>
          <w:ilvl w:val="0"/>
          <w:numId w:val="0"/>
        </w:numPr>
        <w:tabs>
          <w:tab w:val="left" w:pos="0"/>
        </w:tabs>
        <w:spacing w:line="560" w:lineRule="exact"/>
        <w:ind w:firstLine="560" w:firstLineChars="200"/>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所</w:t>
      </w:r>
      <w:r>
        <w:rPr>
          <w:rFonts w:hint="eastAsia" w:ascii="宋体" w:hAnsi="宋体"/>
          <w:sz w:val="28"/>
          <w:szCs w:val="28"/>
          <w:lang w:eastAsia="zh-CN"/>
        </w:rPr>
        <w:t>报</w:t>
      </w:r>
      <w:r>
        <w:rPr>
          <w:rFonts w:hint="eastAsia" w:ascii="宋体" w:hAnsi="宋体"/>
          <w:sz w:val="28"/>
          <w:szCs w:val="28"/>
        </w:rPr>
        <w:t>产品还需提供医疗器械注册登记表或医疗器械生产产品登记表或医疗器械注册（备案）证。</w:t>
      </w:r>
    </w:p>
    <w:p>
      <w:pPr>
        <w:pStyle w:val="16"/>
        <w:sectPr>
          <w:headerReference r:id="rId20" w:type="default"/>
          <w:footerReference r:id="rId21" w:type="default"/>
          <w:pgSz w:w="11906" w:h="16838"/>
          <w:pgMar w:top="1418" w:right="1134" w:bottom="1418" w:left="1418" w:header="851" w:footer="851" w:gutter="0"/>
          <w:pgNumType w:fmt="numberInDash"/>
          <w:cols w:space="720" w:num="1"/>
          <w:docGrid w:linePitch="388" w:charSpace="-1260"/>
        </w:sectPr>
      </w:pPr>
    </w:p>
    <w:p>
      <w:pPr>
        <w:widowControl/>
        <w:jc w:val="center"/>
        <w:outlineLvl w:val="1"/>
        <w:rPr>
          <w:rFonts w:hint="eastAsia" w:ascii="Arial" w:hAnsi="Arial" w:eastAsia="方正小标宋简体" w:cs="Times New Roman"/>
          <w:b w:val="0"/>
          <w:bCs/>
          <w:kern w:val="2"/>
          <w:sz w:val="44"/>
          <w:szCs w:val="44"/>
          <w:lang w:val="zh-CN" w:eastAsia="zh-CN" w:bidi="ar-SA"/>
        </w:rPr>
      </w:pPr>
      <w:bookmarkStart w:id="667" w:name="_Toc28012"/>
      <w:bookmarkStart w:id="668" w:name="_Toc112317781"/>
      <w:bookmarkStart w:id="669" w:name="_Toc5855"/>
      <w:bookmarkStart w:id="670" w:name="_Toc19912"/>
      <w:bookmarkStart w:id="671" w:name="_Toc30809"/>
      <w:bookmarkStart w:id="672" w:name="_Toc16744"/>
      <w:bookmarkStart w:id="673" w:name="_Toc25210"/>
      <w:bookmarkStart w:id="674" w:name="_Toc8647"/>
      <w:bookmarkStart w:id="675" w:name="_Toc3292"/>
      <w:bookmarkStart w:id="676" w:name="_Toc31321"/>
      <w:r>
        <w:rPr>
          <w:rFonts w:hint="eastAsia" w:ascii="Arial" w:hAnsi="Arial" w:eastAsia="方正小标宋简体" w:cs="Times New Roman"/>
          <w:b w:val="0"/>
          <w:bCs/>
          <w:kern w:val="2"/>
          <w:sz w:val="44"/>
          <w:szCs w:val="44"/>
          <w:lang w:val="zh-CN" w:eastAsia="zh-CN" w:bidi="ar-SA"/>
        </w:rPr>
        <w:t>第五章</w:t>
      </w:r>
      <w:r>
        <w:rPr>
          <w:rFonts w:hint="eastAsia" w:ascii="Arial" w:hAnsi="Arial" w:eastAsia="方正小标宋简体" w:cs="Times New Roman"/>
          <w:b w:val="0"/>
          <w:bCs/>
          <w:kern w:val="2"/>
          <w:sz w:val="44"/>
          <w:szCs w:val="44"/>
          <w:lang w:val="en-US" w:eastAsia="zh-CN" w:bidi="ar-SA"/>
        </w:rPr>
        <w:t xml:space="preserve"> </w:t>
      </w:r>
      <w:r>
        <w:rPr>
          <w:rFonts w:hint="eastAsia" w:ascii="Arial" w:hAnsi="Arial" w:eastAsia="方正小标宋简体" w:cs="Times New Roman"/>
          <w:b w:val="0"/>
          <w:bCs/>
          <w:kern w:val="2"/>
          <w:sz w:val="44"/>
          <w:szCs w:val="44"/>
          <w:lang w:val="zh-CN" w:eastAsia="zh-CN" w:bidi="ar-SA"/>
        </w:rPr>
        <w:t>采购项目技术和商务要求</w:t>
      </w:r>
      <w:bookmarkEnd w:id="667"/>
      <w:bookmarkEnd w:id="668"/>
      <w:bookmarkEnd w:id="669"/>
      <w:bookmarkEnd w:id="670"/>
      <w:bookmarkEnd w:id="671"/>
      <w:bookmarkEnd w:id="672"/>
      <w:bookmarkEnd w:id="673"/>
      <w:bookmarkEnd w:id="674"/>
      <w:bookmarkEnd w:id="675"/>
      <w:bookmarkEnd w:id="676"/>
    </w:p>
    <w:p>
      <w:pPr>
        <w:pStyle w:val="5"/>
        <w:keepNext/>
        <w:keepLines/>
        <w:spacing w:before="157" w:beforeLines="50" w:after="157" w:afterLines="50" w:line="560" w:lineRule="exact"/>
        <w:rPr>
          <w:rFonts w:hint="eastAsia" w:ascii="黑体" w:hAnsi="黑体" w:eastAsia="黑体" w:cs="黑体"/>
          <w:b w:val="0"/>
          <w:sz w:val="28"/>
          <w:szCs w:val="28"/>
          <w:lang w:val="en-US" w:eastAsia="zh-CN"/>
        </w:rPr>
      </w:pPr>
      <w:bookmarkStart w:id="677" w:name="_Toc9273"/>
      <w:bookmarkStart w:id="678" w:name="_Toc27260"/>
      <w:bookmarkStart w:id="679" w:name="_Toc11028"/>
      <w:bookmarkStart w:id="680" w:name="_Toc17528"/>
      <w:r>
        <w:rPr>
          <w:rFonts w:hint="eastAsia" w:ascii="黑体" w:hAnsi="黑体" w:eastAsia="黑体" w:cs="黑体"/>
          <w:b w:val="0"/>
          <w:sz w:val="28"/>
          <w:szCs w:val="28"/>
          <w:lang w:val="en-US" w:eastAsia="zh-CN"/>
        </w:rPr>
        <w:t>一、货物一览表</w:t>
      </w:r>
      <w:bookmarkEnd w:id="677"/>
      <w:bookmarkEnd w:id="678"/>
      <w:bookmarkEnd w:id="679"/>
      <w:bookmarkEnd w:id="680"/>
    </w:p>
    <w:tbl>
      <w:tblPr>
        <w:tblStyle w:val="44"/>
        <w:tblW w:w="0" w:type="auto"/>
        <w:tblInd w:w="108" w:type="dxa"/>
        <w:tblLayout w:type="fixed"/>
        <w:tblCellMar>
          <w:top w:w="0" w:type="dxa"/>
          <w:left w:w="108" w:type="dxa"/>
          <w:bottom w:w="0" w:type="dxa"/>
          <w:right w:w="108" w:type="dxa"/>
        </w:tblCellMar>
      </w:tblPr>
      <w:tblGrid>
        <w:gridCol w:w="813"/>
        <w:gridCol w:w="2732"/>
        <w:gridCol w:w="3124"/>
        <w:gridCol w:w="992"/>
        <w:gridCol w:w="851"/>
        <w:gridCol w:w="849"/>
      </w:tblGrid>
      <w:tr>
        <w:tblPrEx>
          <w:tblCellMar>
            <w:top w:w="0" w:type="dxa"/>
            <w:left w:w="108" w:type="dxa"/>
            <w:bottom w:w="0" w:type="dxa"/>
            <w:right w:w="108" w:type="dxa"/>
          </w:tblCellMar>
        </w:tblPrEx>
        <w:trPr>
          <w:trHeight w:val="540" w:hRule="atLeast"/>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jc w:val="center"/>
            </w:pPr>
            <w:bookmarkStart w:id="681" w:name="_Toc285612596"/>
            <w:bookmarkStart w:id="682" w:name="_Toc21754"/>
            <w:bookmarkStart w:id="683" w:name="_Toc3692"/>
            <w:r>
              <w:t>包号</w:t>
            </w:r>
          </w:p>
        </w:tc>
        <w:tc>
          <w:tcPr>
            <w:tcW w:w="2732" w:type="dxa"/>
            <w:tcBorders>
              <w:top w:val="single" w:color="auto" w:sz="4" w:space="0"/>
              <w:left w:val="nil"/>
              <w:bottom w:val="single" w:color="auto" w:sz="4" w:space="0"/>
              <w:right w:val="single" w:color="auto" w:sz="4" w:space="0"/>
            </w:tcBorders>
            <w:noWrap w:val="0"/>
            <w:vAlign w:val="center"/>
          </w:tcPr>
          <w:p>
            <w:pPr>
              <w:widowControl/>
              <w:jc w:val="center"/>
            </w:pPr>
            <w:r>
              <w:rPr>
                <w:rFonts w:hint="eastAsia"/>
              </w:rPr>
              <w:t>货物</w:t>
            </w:r>
            <w:r>
              <w:t>名称</w:t>
            </w:r>
          </w:p>
        </w:tc>
        <w:tc>
          <w:tcPr>
            <w:tcW w:w="3124" w:type="dxa"/>
            <w:tcBorders>
              <w:top w:val="single" w:color="auto" w:sz="4" w:space="0"/>
              <w:left w:val="single" w:color="auto" w:sz="4" w:space="0"/>
              <w:bottom w:val="single" w:color="auto" w:sz="4" w:space="0"/>
              <w:right w:val="single" w:color="auto" w:sz="4" w:space="0"/>
            </w:tcBorders>
            <w:noWrap w:val="0"/>
            <w:vAlign w:val="center"/>
          </w:tcPr>
          <w:p>
            <w:pPr>
              <w:widowControl/>
              <w:jc w:val="center"/>
            </w:pPr>
            <w:r>
              <w:t>技术指标参数要求</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pPr>
            <w:r>
              <w:t>计量</w:t>
            </w:r>
          </w:p>
          <w:p>
            <w:pPr>
              <w:widowControl/>
              <w:jc w:val="center"/>
            </w:pPr>
            <w:r>
              <w:t>单位</w:t>
            </w:r>
          </w:p>
        </w:tc>
        <w:tc>
          <w:tcPr>
            <w:tcW w:w="851" w:type="dxa"/>
            <w:tcBorders>
              <w:top w:val="single" w:color="auto" w:sz="4" w:space="0"/>
              <w:left w:val="nil"/>
              <w:bottom w:val="single" w:color="auto" w:sz="4" w:space="0"/>
              <w:right w:val="single" w:color="auto" w:sz="4" w:space="0"/>
            </w:tcBorders>
            <w:noWrap w:val="0"/>
            <w:vAlign w:val="center"/>
          </w:tcPr>
          <w:p>
            <w:pPr>
              <w:widowControl/>
              <w:jc w:val="center"/>
            </w:pPr>
            <w:r>
              <w:t>数量</w:t>
            </w:r>
          </w:p>
        </w:tc>
        <w:tc>
          <w:tcPr>
            <w:tcW w:w="849" w:type="dxa"/>
            <w:tcBorders>
              <w:top w:val="single" w:color="auto" w:sz="4" w:space="0"/>
              <w:left w:val="nil"/>
              <w:bottom w:val="single" w:color="auto" w:sz="4" w:space="0"/>
              <w:right w:val="single" w:color="auto" w:sz="4" w:space="0"/>
            </w:tcBorders>
            <w:noWrap w:val="0"/>
            <w:vAlign w:val="center"/>
          </w:tcPr>
          <w:p>
            <w:pPr>
              <w:widowControl/>
              <w:jc w:val="center"/>
            </w:pPr>
            <w:r>
              <w:t>备注</w:t>
            </w:r>
          </w:p>
        </w:tc>
      </w:tr>
      <w:tr>
        <w:tblPrEx>
          <w:tblCellMar>
            <w:top w:w="0" w:type="dxa"/>
            <w:left w:w="108" w:type="dxa"/>
            <w:bottom w:w="0" w:type="dxa"/>
            <w:right w:w="108" w:type="dxa"/>
          </w:tblCellMar>
        </w:tblPrEx>
        <w:trPr>
          <w:trHeight w:val="678" w:hRule="atLeast"/>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default" w:eastAsia="宋体"/>
                <w:sz w:val="20"/>
                <w:szCs w:val="20"/>
                <w:lang w:val="en-US" w:eastAsia="zh-CN"/>
              </w:rPr>
            </w:pPr>
            <w:r>
              <w:rPr>
                <w:rFonts w:hint="eastAsia"/>
                <w:sz w:val="20"/>
                <w:szCs w:val="20"/>
                <w:lang w:val="en-US" w:eastAsia="zh-CN"/>
              </w:rPr>
              <w:t>01</w:t>
            </w:r>
          </w:p>
        </w:tc>
        <w:tc>
          <w:tcPr>
            <w:tcW w:w="2732" w:type="dxa"/>
            <w:tcBorders>
              <w:top w:val="single" w:color="auto" w:sz="4" w:space="0"/>
              <w:left w:val="nil"/>
              <w:bottom w:val="single" w:color="auto" w:sz="4" w:space="0"/>
              <w:right w:val="single" w:color="auto" w:sz="4" w:space="0"/>
            </w:tcBorders>
            <w:noWrap w:val="0"/>
            <w:vAlign w:val="center"/>
          </w:tcPr>
          <w:p>
            <w:pPr>
              <w:spacing w:line="560" w:lineRule="exact"/>
              <w:jc w:val="center"/>
              <w:rPr>
                <w:sz w:val="20"/>
                <w:szCs w:val="20"/>
              </w:rPr>
            </w:pPr>
            <w:r>
              <w:rPr>
                <w:rFonts w:hint="eastAsia"/>
                <w:sz w:val="20"/>
                <w:szCs w:val="20"/>
              </w:rPr>
              <w:t>手术头架及牵开系统</w:t>
            </w:r>
          </w:p>
        </w:tc>
        <w:tc>
          <w:tcPr>
            <w:tcW w:w="3124"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eastAsia="宋体"/>
                <w:sz w:val="20"/>
                <w:szCs w:val="20"/>
                <w:lang w:eastAsia="zh-CN"/>
              </w:rPr>
            </w:pPr>
            <w:r>
              <w:rPr>
                <w:rFonts w:hint="eastAsia"/>
                <w:sz w:val="20"/>
                <w:szCs w:val="20"/>
                <w:lang w:eastAsia="zh-CN"/>
              </w:rPr>
              <w:t>详见技术要求</w:t>
            </w:r>
          </w:p>
        </w:tc>
        <w:tc>
          <w:tcPr>
            <w:tcW w:w="992" w:type="dxa"/>
            <w:tcBorders>
              <w:top w:val="single" w:color="auto" w:sz="4" w:space="0"/>
              <w:left w:val="nil"/>
              <w:bottom w:val="single" w:color="auto" w:sz="4" w:space="0"/>
              <w:right w:val="single" w:color="auto" w:sz="4" w:space="0"/>
            </w:tcBorders>
            <w:noWrap w:val="0"/>
            <w:vAlign w:val="center"/>
          </w:tcPr>
          <w:p>
            <w:pPr>
              <w:spacing w:line="560" w:lineRule="exact"/>
              <w:jc w:val="center"/>
              <w:rPr>
                <w:sz w:val="20"/>
                <w:szCs w:val="20"/>
              </w:rPr>
            </w:pPr>
          </w:p>
        </w:tc>
        <w:tc>
          <w:tcPr>
            <w:tcW w:w="851" w:type="dxa"/>
            <w:tcBorders>
              <w:top w:val="single" w:color="auto" w:sz="4" w:space="0"/>
              <w:left w:val="nil"/>
              <w:bottom w:val="single" w:color="auto" w:sz="4" w:space="0"/>
              <w:right w:val="single" w:color="auto" w:sz="4" w:space="0"/>
            </w:tcBorders>
            <w:noWrap w:val="0"/>
            <w:vAlign w:val="center"/>
          </w:tcPr>
          <w:p>
            <w:pPr>
              <w:spacing w:line="560" w:lineRule="exact"/>
              <w:jc w:val="center"/>
              <w:rPr>
                <w:sz w:val="20"/>
                <w:szCs w:val="20"/>
              </w:rPr>
            </w:pPr>
          </w:p>
        </w:tc>
        <w:tc>
          <w:tcPr>
            <w:tcW w:w="849" w:type="dxa"/>
            <w:tcBorders>
              <w:top w:val="single" w:color="auto" w:sz="4" w:space="0"/>
              <w:left w:val="nil"/>
              <w:bottom w:val="single" w:color="auto" w:sz="4" w:space="0"/>
              <w:right w:val="single" w:color="auto" w:sz="4" w:space="0"/>
            </w:tcBorders>
            <w:noWrap w:val="0"/>
            <w:vAlign w:val="center"/>
          </w:tcPr>
          <w:p>
            <w:pPr>
              <w:widowControl/>
              <w:spacing w:line="560" w:lineRule="exact"/>
              <w:jc w:val="left"/>
              <w:rPr>
                <w:sz w:val="20"/>
                <w:szCs w:val="20"/>
              </w:rPr>
            </w:pPr>
          </w:p>
        </w:tc>
      </w:tr>
      <w:tr>
        <w:tblPrEx>
          <w:tblCellMar>
            <w:top w:w="0" w:type="dxa"/>
            <w:left w:w="108" w:type="dxa"/>
            <w:bottom w:w="0" w:type="dxa"/>
            <w:right w:w="108" w:type="dxa"/>
          </w:tblCellMar>
        </w:tblPrEx>
        <w:trPr>
          <w:trHeight w:val="678" w:hRule="atLeast"/>
        </w:trPr>
        <w:tc>
          <w:tcPr>
            <w:tcW w:w="9361" w:type="dxa"/>
            <w:gridSpan w:val="6"/>
            <w:tcBorders>
              <w:top w:val="single" w:color="auto" w:sz="4" w:space="0"/>
              <w:left w:val="single" w:color="auto" w:sz="4" w:space="0"/>
              <w:bottom w:val="single" w:color="auto" w:sz="4" w:space="0"/>
              <w:right w:val="single" w:color="auto" w:sz="4" w:space="0"/>
            </w:tcBorders>
            <w:noWrap w:val="0"/>
            <w:vAlign w:val="center"/>
          </w:tcPr>
          <w:p>
            <w:pPr>
              <w:numPr>
                <w:ilvl w:val="0"/>
                <w:numId w:val="0"/>
              </w:numPr>
              <w:rPr>
                <w:rFonts w:hint="default" w:ascii="Times New Roman" w:hAnsi="Times New Roman" w:eastAsia="宋体" w:cs="Times New Roman"/>
                <w:snapToGrid/>
                <w:sz w:val="24"/>
                <w:szCs w:val="24"/>
                <w:highlight w:val="none"/>
                <w:lang w:eastAsia="zh-CN"/>
              </w:rPr>
            </w:pPr>
            <w:r>
              <w:rPr>
                <w:rFonts w:hint="eastAsia" w:ascii="Times New Roman" w:hAnsi="Times New Roman" w:cs="Times New Roman"/>
              </w:rPr>
              <w:t>注：</w:t>
            </w:r>
            <w:r>
              <w:rPr>
                <w:rFonts w:ascii="Times New Roman" w:hAnsi="Times New Roman" w:cs="Times New Roman"/>
              </w:rPr>
              <w:t> 1</w:t>
            </w:r>
            <w:r>
              <w:rPr>
                <w:rFonts w:hint="eastAsia" w:ascii="Times New Roman" w:hAnsi="Times New Roman" w:cs="Times New Roman"/>
              </w:rPr>
              <w:t>.</w:t>
            </w:r>
            <w:r>
              <w:rPr>
                <w:rFonts w:ascii="Times New Roman" w:hAnsi="Times New Roman" w:cs="Times New Roman"/>
              </w:rPr>
              <w:t>带“★”符号项目为</w:t>
            </w:r>
            <w:r>
              <w:rPr>
                <w:rFonts w:hint="default" w:ascii="Times New Roman" w:hAnsi="Times New Roman" w:eastAsia="宋体" w:cs="Times New Roman"/>
                <w:snapToGrid/>
                <w:sz w:val="24"/>
                <w:szCs w:val="24"/>
                <w:highlight w:val="none"/>
                <w:lang w:eastAsia="zh-CN"/>
              </w:rPr>
              <w:t>必须满足指标，若出现一项负偏离，则视为废标</w:t>
            </w:r>
            <w:r>
              <w:rPr>
                <w:rFonts w:hint="eastAsia" w:ascii="Times New Roman" w:hAnsi="Times New Roman" w:eastAsia="宋体" w:cs="Times New Roman"/>
                <w:snapToGrid/>
                <w:sz w:val="24"/>
                <w:szCs w:val="24"/>
                <w:highlight w:val="none"/>
                <w:lang w:eastAsia="zh-CN"/>
              </w:rPr>
              <w:t>，</w:t>
            </w:r>
            <w:r>
              <w:rPr>
                <w:rFonts w:hint="default" w:ascii="Times New Roman" w:hAnsi="Times New Roman" w:eastAsia="宋体" w:cs="Times New Roman"/>
                <w:snapToGrid/>
                <w:sz w:val="24"/>
                <w:szCs w:val="24"/>
                <w:highlight w:val="none"/>
                <w:lang w:eastAsia="zh-CN"/>
              </w:rPr>
              <w:t>带“▲”符号项目为重要指标</w:t>
            </w:r>
            <w:r>
              <w:rPr>
                <w:rFonts w:hint="eastAsia" w:ascii="Times New Roman" w:hAnsi="Times New Roman" w:eastAsia="宋体" w:cs="Times New Roman"/>
                <w:snapToGrid/>
                <w:sz w:val="24"/>
                <w:szCs w:val="24"/>
                <w:highlight w:val="none"/>
                <w:lang w:eastAsia="zh-CN"/>
              </w:rPr>
              <w:t>，</w:t>
            </w:r>
            <w:r>
              <w:rPr>
                <w:rFonts w:hint="default" w:ascii="Times New Roman" w:hAnsi="Times New Roman" w:eastAsia="宋体" w:cs="Times New Roman"/>
                <w:snapToGrid/>
                <w:sz w:val="24"/>
                <w:szCs w:val="24"/>
                <w:highlight w:val="none"/>
                <w:lang w:eastAsia="zh-CN"/>
              </w:rPr>
              <w:t>其他项目为一般指标</w:t>
            </w:r>
          </w:p>
          <w:p>
            <w:pPr>
              <w:numPr>
                <w:ilvl w:val="0"/>
                <w:numId w:val="0"/>
              </w:numPr>
              <w:ind w:firstLine="480" w:firstLineChars="200"/>
              <w:rPr>
                <w:rFonts w:hint="eastAsia"/>
                <w:b/>
                <w:bCs/>
                <w:lang w:val="zh-CN"/>
              </w:rPr>
            </w:pPr>
            <w:r>
              <w:rPr>
                <w:rFonts w:hint="eastAsia" w:ascii="Times New Roman" w:hAnsi="Times New Roman" w:eastAsia="宋体" w:cs="Times New Roman"/>
                <w:snapToGrid/>
                <w:sz w:val="24"/>
                <w:szCs w:val="24"/>
                <w:highlight w:val="none"/>
                <w:lang w:val="en-US" w:eastAsia="zh-CN"/>
              </w:rPr>
              <w:t>2.</w:t>
            </w:r>
            <w:r>
              <w:rPr>
                <w:rFonts w:hint="eastAsia" w:ascii="Times New Roman" w:hAnsi="Times New Roman" w:eastAsia="宋体" w:cs="Times New Roman"/>
                <w:snapToGrid/>
                <w:sz w:val="24"/>
                <w:szCs w:val="24"/>
                <w:highlight w:val="none"/>
                <w:lang w:eastAsia="zh-CN"/>
              </w:rPr>
              <w:t>注星号（“★”）的关键参数要求提供</w:t>
            </w:r>
            <w:r>
              <w:rPr>
                <w:rFonts w:hint="default" w:ascii="Times New Roman" w:hAnsi="Times New Roman" w:eastAsia="宋体" w:cs="Times New Roman"/>
                <w:snapToGrid/>
                <w:sz w:val="24"/>
                <w:szCs w:val="24"/>
                <w:highlight w:val="none"/>
                <w:lang w:val="zh-CN" w:eastAsia="zh-CN"/>
              </w:rPr>
              <w:t>产品规格表</w:t>
            </w:r>
            <w:r>
              <w:rPr>
                <w:rFonts w:hint="eastAsia" w:ascii="Times New Roman" w:hAnsi="Times New Roman" w:eastAsia="宋体" w:cs="Times New Roman"/>
                <w:snapToGrid/>
                <w:sz w:val="24"/>
                <w:szCs w:val="24"/>
                <w:highlight w:val="none"/>
                <w:lang w:val="zh-CN" w:eastAsia="zh-CN"/>
              </w:rPr>
              <w:t>、产品宣传彩页、技术白皮书、制造商官方网站发布的产品信息、说明书等或检测机构出具的检测报告等</w:t>
            </w:r>
            <w:r>
              <w:rPr>
                <w:rFonts w:hint="eastAsia" w:ascii="Times New Roman" w:hAnsi="Times New Roman" w:eastAsia="宋体" w:cs="Times New Roman"/>
                <w:snapToGrid/>
                <w:sz w:val="24"/>
                <w:szCs w:val="24"/>
                <w:highlight w:val="none"/>
                <w:lang w:eastAsia="zh-CN"/>
              </w:rPr>
              <w:t>技术资料支持（定制产品除外）。</w:t>
            </w:r>
            <w:r>
              <w:rPr>
                <w:rFonts w:hint="eastAsia"/>
                <w:b/>
                <w:bCs/>
                <w:lang w:val="zh-CN"/>
              </w:rPr>
              <w:t>（以上资料只要能证明“★”关键参数要求既可，不需全部提供。）</w:t>
            </w:r>
          </w:p>
          <w:p>
            <w:pPr>
              <w:ind w:firstLine="480" w:firstLineChars="200"/>
              <w:rPr>
                <w:rFonts w:hint="eastAsia"/>
                <w:b/>
                <w:bCs/>
                <w:lang w:val="zh-CN"/>
              </w:rPr>
            </w:pPr>
            <w:r>
              <w:rPr>
                <w:rFonts w:hint="eastAsia" w:ascii="Times New Roman" w:hAnsi="Times New Roman" w:eastAsia="宋体" w:cs="Times New Roman"/>
                <w:snapToGrid/>
                <w:sz w:val="24"/>
                <w:szCs w:val="24"/>
                <w:highlight w:val="none"/>
                <w:lang w:val="en-US" w:eastAsia="zh-CN"/>
              </w:rPr>
              <w:t>3.</w:t>
            </w:r>
            <w:r>
              <w:rPr>
                <w:rFonts w:hint="default" w:ascii="Times New Roman" w:hAnsi="Times New Roman" w:eastAsia="宋体" w:cs="Times New Roman"/>
                <w:snapToGrid/>
                <w:sz w:val="24"/>
                <w:szCs w:val="24"/>
                <w:highlight w:val="none"/>
                <w:lang w:val="zh-CN" w:eastAsia="zh-CN"/>
              </w:rPr>
              <w:t>对于采购需求中难以验证、难以评判的指标由制造商出具承诺函即可；对于需要定制、涉及安装调试等客观内容无法提供技术证明资料的部分由</w:t>
            </w:r>
            <w:r>
              <w:rPr>
                <w:rFonts w:hint="eastAsia" w:ascii="Times New Roman" w:hAnsi="Times New Roman" w:cs="Times New Roman"/>
                <w:snapToGrid/>
                <w:sz w:val="24"/>
                <w:szCs w:val="24"/>
                <w:highlight w:val="none"/>
                <w:lang w:val="zh-CN" w:eastAsia="zh-CN"/>
              </w:rPr>
              <w:t>报价</w:t>
            </w:r>
            <w:r>
              <w:rPr>
                <w:rFonts w:hint="default" w:ascii="Times New Roman" w:hAnsi="Times New Roman" w:eastAsia="宋体" w:cs="Times New Roman"/>
                <w:snapToGrid/>
                <w:sz w:val="24"/>
                <w:szCs w:val="24"/>
                <w:highlight w:val="none"/>
                <w:lang w:val="zh-CN" w:eastAsia="zh-CN"/>
              </w:rPr>
              <w:t>人出具完全响应的承诺即可（承诺形式包含出具承诺函或技术参数响应偏离表响应无偏离）。</w:t>
            </w:r>
          </w:p>
        </w:tc>
      </w:tr>
    </w:tbl>
    <w:p>
      <w:pPr>
        <w:pStyle w:val="5"/>
        <w:keepNext/>
        <w:keepLines/>
        <w:pageBreakBefore w:val="0"/>
        <w:widowControl w:val="0"/>
        <w:kinsoku/>
        <w:wordWrap/>
        <w:overflowPunct/>
        <w:topLinePunct w:val="0"/>
        <w:autoSpaceDE/>
        <w:autoSpaceDN/>
        <w:bidi w:val="0"/>
        <w:adjustRightInd/>
        <w:snapToGrid/>
        <w:spacing w:before="157" w:beforeLines="50" w:after="157" w:afterLines="50" w:line="560" w:lineRule="exact"/>
        <w:textAlignment w:val="auto"/>
        <w:rPr>
          <w:rFonts w:hint="eastAsia" w:ascii="黑体" w:hAnsi="黑体" w:eastAsia="黑体" w:cs="黑体"/>
          <w:b w:val="0"/>
          <w:bCs/>
          <w:sz w:val="28"/>
          <w:szCs w:val="28"/>
        </w:rPr>
      </w:pPr>
      <w:bookmarkStart w:id="684" w:name="_Toc22402"/>
      <w:bookmarkStart w:id="685" w:name="_Toc9667"/>
      <w:bookmarkStart w:id="686" w:name="_Toc8661"/>
      <w:bookmarkStart w:id="687" w:name="_Toc24099"/>
      <w:bookmarkStart w:id="688" w:name="_Toc7059"/>
      <w:r>
        <w:rPr>
          <w:rFonts w:hint="eastAsia" w:ascii="黑体" w:hAnsi="黑体" w:eastAsia="黑体" w:cs="黑体"/>
          <w:b w:val="0"/>
          <w:bCs/>
          <w:sz w:val="28"/>
          <w:szCs w:val="28"/>
          <w:lang w:val="en-US" w:eastAsia="zh-CN"/>
        </w:rPr>
        <w:t>二</w:t>
      </w:r>
      <w:r>
        <w:rPr>
          <w:rFonts w:hint="eastAsia" w:ascii="黑体" w:hAnsi="黑体" w:eastAsia="黑体" w:cs="黑体"/>
          <w:b w:val="0"/>
          <w:bCs/>
          <w:sz w:val="28"/>
          <w:szCs w:val="28"/>
        </w:rPr>
        <w:t>、</w:t>
      </w:r>
      <w:bookmarkEnd w:id="681"/>
      <w:r>
        <w:rPr>
          <w:rFonts w:hint="eastAsia" w:ascii="黑体" w:hAnsi="黑体" w:eastAsia="黑体" w:cs="黑体"/>
          <w:b w:val="0"/>
          <w:bCs/>
          <w:sz w:val="28"/>
          <w:szCs w:val="28"/>
        </w:rPr>
        <w:t>技术要求</w:t>
      </w:r>
      <w:bookmarkEnd w:id="682"/>
      <w:bookmarkEnd w:id="683"/>
      <w:bookmarkEnd w:id="684"/>
      <w:bookmarkEnd w:id="685"/>
      <w:bookmarkEnd w:id="686"/>
      <w:bookmarkEnd w:id="687"/>
      <w:bookmarkEnd w:id="688"/>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1190"/>
        <w:gridCol w:w="3383"/>
        <w:gridCol w:w="1310"/>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496" w:type="dxa"/>
            <w:gridSpan w:val="2"/>
            <w:noWrap w:val="0"/>
            <w:vAlign w:val="center"/>
          </w:tcPr>
          <w:p>
            <w:pPr>
              <w:spacing w:line="300" w:lineRule="exact"/>
              <w:jc w:val="center"/>
              <w:rPr>
                <w:rFonts w:ascii="宋体" w:hAnsi="宋体" w:cs="华文中宋"/>
                <w:b/>
                <w:bCs/>
                <w:szCs w:val="21"/>
              </w:rPr>
            </w:pPr>
            <w:r>
              <w:rPr>
                <w:rFonts w:hint="eastAsia" w:ascii="宋体" w:hAnsi="宋体" w:cs="华文中宋"/>
                <w:b/>
                <w:bCs/>
                <w:szCs w:val="21"/>
              </w:rPr>
              <w:t>产品用途及使用范围</w:t>
            </w:r>
          </w:p>
        </w:tc>
        <w:tc>
          <w:tcPr>
            <w:tcW w:w="6887" w:type="dxa"/>
            <w:gridSpan w:val="3"/>
            <w:noWrap w:val="0"/>
            <w:vAlign w:val="center"/>
          </w:tcPr>
          <w:p>
            <w:pPr>
              <w:spacing w:line="480" w:lineRule="exact"/>
              <w:rPr>
                <w:rFonts w:ascii="仿宋_GB2312" w:eastAsia="仿宋_GB2312" w:cs="仿宋_GB2312"/>
                <w:szCs w:val="21"/>
              </w:rPr>
            </w:pPr>
            <w:r>
              <w:rPr>
                <w:rFonts w:hint="eastAsia" w:cs="华文中宋" w:asciiTheme="minorEastAsia" w:hAnsiTheme="minorEastAsia"/>
                <w:kern w:val="0"/>
                <w:szCs w:val="21"/>
                <w:lang w:val="zh-CN" w:bidi="zh-CN"/>
              </w:rPr>
              <w:t>用于神经外科进行颈椎手术时提供头颅支撑，暴露手术部位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496" w:type="dxa"/>
            <w:gridSpan w:val="2"/>
            <w:noWrap w:val="0"/>
            <w:vAlign w:val="center"/>
          </w:tcPr>
          <w:p>
            <w:pPr>
              <w:spacing w:line="300" w:lineRule="exact"/>
              <w:jc w:val="center"/>
              <w:rPr>
                <w:rFonts w:ascii="宋体" w:hAnsi="宋体" w:cs="华文中宋"/>
                <w:b/>
                <w:bCs/>
                <w:szCs w:val="21"/>
              </w:rPr>
            </w:pPr>
            <w:r>
              <w:rPr>
                <w:rFonts w:hint="eastAsia" w:ascii="宋体" w:hAnsi="宋体" w:cs="华文中宋"/>
                <w:b/>
                <w:bCs/>
                <w:szCs w:val="21"/>
              </w:rPr>
              <w:t>安装场地</w:t>
            </w:r>
          </w:p>
        </w:tc>
        <w:tc>
          <w:tcPr>
            <w:tcW w:w="6887" w:type="dxa"/>
            <w:gridSpan w:val="3"/>
            <w:noWrap w:val="0"/>
            <w:vAlign w:val="center"/>
          </w:tcPr>
          <w:p>
            <w:pPr>
              <w:jc w:val="left"/>
              <w:rPr>
                <w:rFonts w:hint="eastAsia" w:ascii="宋体" w:hAnsi="宋体"/>
                <w:szCs w:val="21"/>
              </w:rPr>
            </w:pPr>
            <w:r>
              <w:rPr>
                <w:rFonts w:hint="eastAsia" w:cs="Times New Roman" w:asciiTheme="minorEastAsia" w:hAnsiTheme="minorEastAsia"/>
                <w:kern w:val="0"/>
                <w:szCs w:val="21"/>
                <w:lang w:val="zh-CN" w:bidi="zh-CN"/>
              </w:rPr>
              <w:t>无特殊要求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496" w:type="dxa"/>
            <w:gridSpan w:val="2"/>
            <w:noWrap w:val="0"/>
            <w:vAlign w:val="center"/>
          </w:tcPr>
          <w:p>
            <w:pPr>
              <w:spacing w:line="300" w:lineRule="exact"/>
              <w:jc w:val="center"/>
              <w:rPr>
                <w:rFonts w:ascii="宋体" w:hAnsi="宋体" w:cs="华文中宋"/>
                <w:b/>
                <w:bCs/>
                <w:szCs w:val="21"/>
              </w:rPr>
            </w:pPr>
            <w:r>
              <w:rPr>
                <w:rFonts w:hint="eastAsia" w:ascii="宋体" w:hAnsi="宋体" w:cs="华文中宋"/>
                <w:b/>
                <w:bCs/>
                <w:szCs w:val="21"/>
              </w:rPr>
              <w:t>使用环境</w:t>
            </w:r>
          </w:p>
        </w:tc>
        <w:tc>
          <w:tcPr>
            <w:tcW w:w="6887" w:type="dxa"/>
            <w:gridSpan w:val="3"/>
            <w:noWrap w:val="0"/>
            <w:vAlign w:val="center"/>
          </w:tcPr>
          <w:p>
            <w:pPr>
              <w:jc w:val="left"/>
              <w:rPr>
                <w:rFonts w:ascii="宋体" w:hAnsi="宋体"/>
                <w:szCs w:val="21"/>
              </w:rPr>
            </w:pPr>
            <w:r>
              <w:rPr>
                <w:rFonts w:hint="eastAsia" w:cs="Times New Roman" w:asciiTheme="minorEastAsia" w:hAnsiTheme="minorEastAsia"/>
                <w:kern w:val="0"/>
                <w:szCs w:val="21"/>
                <w:lang w:val="zh-CN" w:bidi="zh-CN"/>
              </w:rPr>
              <w:t>无特殊要求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9383" w:type="dxa"/>
            <w:gridSpan w:val="5"/>
            <w:noWrap w:val="0"/>
            <w:vAlign w:val="center"/>
          </w:tcPr>
          <w:p>
            <w:pPr>
              <w:spacing w:line="300" w:lineRule="exact"/>
              <w:jc w:val="center"/>
              <w:rPr>
                <w:rFonts w:ascii="宋体" w:hAnsi="宋体"/>
                <w:b/>
                <w:szCs w:val="21"/>
              </w:rPr>
            </w:pPr>
            <w:r>
              <w:rPr>
                <w:rFonts w:hint="eastAsia" w:ascii="宋体" w:hAnsi="宋体" w:cs="华文中宋"/>
                <w:b/>
                <w:bCs/>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5879" w:type="dxa"/>
            <w:gridSpan w:val="3"/>
            <w:noWrap w:val="0"/>
            <w:vAlign w:val="center"/>
          </w:tcPr>
          <w:p>
            <w:pPr>
              <w:jc w:val="center"/>
              <w:rPr>
                <w:rFonts w:ascii="宋体" w:hAnsi="宋体" w:cs="华文中宋"/>
                <w:b/>
                <w:bCs/>
                <w:szCs w:val="21"/>
              </w:rPr>
            </w:pPr>
            <w:r>
              <w:rPr>
                <w:rFonts w:hint="eastAsia" w:ascii="宋体" w:hAnsi="宋体" w:cs="华文中宋"/>
                <w:b/>
                <w:bCs/>
                <w:szCs w:val="21"/>
              </w:rPr>
              <w:t>具体性能与参数要求</w:t>
            </w:r>
          </w:p>
        </w:tc>
        <w:tc>
          <w:tcPr>
            <w:tcW w:w="3504" w:type="dxa"/>
            <w:gridSpan w:val="2"/>
            <w:noWrap w:val="0"/>
            <w:vAlign w:val="center"/>
          </w:tcPr>
          <w:p>
            <w:pPr>
              <w:jc w:val="center"/>
              <w:rPr>
                <w:rFonts w:hint="eastAsia" w:ascii="宋体" w:hAnsi="宋体" w:cs="华文中宋"/>
                <w:szCs w:val="21"/>
              </w:rPr>
            </w:pPr>
            <w:r>
              <w:rPr>
                <w:rFonts w:hint="eastAsia" w:ascii="宋体" w:hAnsi="宋体" w:cs="华文中宋"/>
                <w:b/>
                <w:bCs/>
                <w:szCs w:val="21"/>
                <w:lang w:val="zh-CN"/>
              </w:rPr>
              <w:t>可量化指标正偏离认定情况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306" w:type="dxa"/>
            <w:vMerge w:val="restart"/>
            <w:noWrap w:val="0"/>
            <w:vAlign w:val="center"/>
          </w:tcPr>
          <w:p>
            <w:pPr>
              <w:widowControl/>
              <w:jc w:val="left"/>
              <w:rPr>
                <w:rFonts w:eastAsia="宋体" w:cs="Arial" w:asciiTheme="minorEastAsia" w:hAnsiTheme="minorEastAsia"/>
                <w:kern w:val="0"/>
                <w:sz w:val="21"/>
                <w:szCs w:val="21"/>
                <w:lang w:val="en-US" w:eastAsia="zh-CN" w:bidi="zh-CN"/>
              </w:rPr>
            </w:pPr>
            <w:r>
              <w:rPr>
                <w:rFonts w:cs="宋体" w:asciiTheme="minorEastAsia" w:hAnsiTheme="minorEastAsia"/>
                <w:kern w:val="0"/>
                <w:szCs w:val="21"/>
                <w:lang w:bidi="zh-CN"/>
              </w:rPr>
              <w:t>头夹</w:t>
            </w:r>
          </w:p>
        </w:tc>
        <w:tc>
          <w:tcPr>
            <w:tcW w:w="4573" w:type="dxa"/>
            <w:gridSpan w:val="2"/>
            <w:noWrap w:val="0"/>
            <w:vAlign w:val="center"/>
          </w:tcPr>
          <w:p>
            <w:pPr>
              <w:widowControl/>
              <w:jc w:val="left"/>
              <w:rPr>
                <w:rFonts w:hint="eastAsia" w:eastAsia="宋体" w:cs="Arial" w:asciiTheme="minorEastAsia" w:hAnsiTheme="minorEastAsia"/>
                <w:kern w:val="0"/>
                <w:sz w:val="21"/>
                <w:szCs w:val="21"/>
                <w:lang w:val="en-US" w:eastAsia="zh-CN" w:bidi="zh-CN"/>
              </w:rPr>
            </w:pPr>
            <w:r>
              <w:rPr>
                <w:rFonts w:hint="eastAsia" w:cs="Arial" w:asciiTheme="minorEastAsia" w:hAnsiTheme="minorEastAsia"/>
                <w:kern w:val="0"/>
                <w:szCs w:val="21"/>
                <w:lang w:bidi="zh-CN"/>
              </w:rPr>
              <w:t>★1.1三钉式头部固定系统，通过双钉侧施压或头夹采用单钉侧加压方式，压力平均分配在三颗头钉</w:t>
            </w:r>
          </w:p>
        </w:tc>
        <w:tc>
          <w:tcPr>
            <w:tcW w:w="3504" w:type="dxa"/>
            <w:gridSpan w:val="2"/>
            <w:noWrap w:val="0"/>
            <w:vAlign w:val="center"/>
          </w:tcPr>
          <w:p>
            <w:pPr>
              <w:spacing w:line="480" w:lineRule="exact"/>
              <w:rPr>
                <w:rFonts w:hint="eastAsia"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306" w:type="dxa"/>
            <w:vMerge w:val="continue"/>
            <w:noWrap w:val="0"/>
            <w:vAlign w:val="center"/>
          </w:tcPr>
          <w:p>
            <w:pPr>
              <w:widowControl/>
              <w:jc w:val="left"/>
              <w:rPr>
                <w:rFonts w:eastAsia="宋体" w:cs="Arial" w:asciiTheme="minorEastAsia" w:hAnsiTheme="minorEastAsia"/>
                <w:kern w:val="0"/>
                <w:sz w:val="21"/>
                <w:szCs w:val="21"/>
                <w:lang w:val="en-US" w:eastAsia="zh-CN" w:bidi="zh-CN"/>
              </w:rPr>
            </w:pPr>
          </w:p>
        </w:tc>
        <w:tc>
          <w:tcPr>
            <w:tcW w:w="4573" w:type="dxa"/>
            <w:gridSpan w:val="2"/>
            <w:noWrap w:val="0"/>
            <w:vAlign w:val="center"/>
          </w:tcPr>
          <w:p>
            <w:pPr>
              <w:widowControl/>
              <w:jc w:val="left"/>
              <w:rPr>
                <w:rFonts w:hint="eastAsia" w:eastAsia="宋体" w:cs="Arial" w:asciiTheme="minorEastAsia" w:hAnsiTheme="minorEastAsia"/>
                <w:kern w:val="0"/>
                <w:sz w:val="21"/>
                <w:szCs w:val="21"/>
                <w:lang w:val="en-US" w:eastAsia="zh-CN" w:bidi="zh-CN"/>
              </w:rPr>
            </w:pPr>
            <w:r>
              <w:rPr>
                <w:rFonts w:hint="eastAsia" w:cs="Arial" w:asciiTheme="minorEastAsia" w:hAnsiTheme="minorEastAsia"/>
                <w:kern w:val="0"/>
                <w:szCs w:val="21"/>
                <w:lang w:bidi="zh-CN"/>
              </w:rPr>
              <w:t>1.2头夹可与立体定向或导航系统配套使用</w:t>
            </w:r>
          </w:p>
        </w:tc>
        <w:tc>
          <w:tcPr>
            <w:tcW w:w="3504" w:type="dxa"/>
            <w:gridSpan w:val="2"/>
            <w:noWrap w:val="0"/>
            <w:vAlign w:val="center"/>
          </w:tcPr>
          <w:p>
            <w:pPr>
              <w:spacing w:line="480" w:lineRule="exact"/>
              <w:rPr>
                <w:rFonts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306" w:type="dxa"/>
            <w:vMerge w:val="continue"/>
            <w:noWrap w:val="0"/>
            <w:vAlign w:val="center"/>
          </w:tcPr>
          <w:p>
            <w:pPr>
              <w:widowControl/>
              <w:jc w:val="left"/>
              <w:rPr>
                <w:rFonts w:eastAsia="宋体" w:cs="Arial" w:asciiTheme="minorEastAsia" w:hAnsiTheme="minorEastAsia"/>
                <w:kern w:val="0"/>
                <w:sz w:val="21"/>
                <w:szCs w:val="21"/>
                <w:lang w:val="en-US" w:eastAsia="zh-CN" w:bidi="zh-CN"/>
              </w:rPr>
            </w:pPr>
          </w:p>
        </w:tc>
        <w:tc>
          <w:tcPr>
            <w:tcW w:w="4573" w:type="dxa"/>
            <w:gridSpan w:val="2"/>
            <w:noWrap w:val="0"/>
            <w:vAlign w:val="center"/>
          </w:tcPr>
          <w:p>
            <w:pPr>
              <w:widowControl/>
              <w:jc w:val="left"/>
              <w:rPr>
                <w:rFonts w:hint="eastAsia" w:eastAsia="宋体" w:cs="Arial" w:asciiTheme="minorEastAsia" w:hAnsiTheme="minorEastAsia"/>
                <w:kern w:val="0"/>
                <w:sz w:val="21"/>
                <w:szCs w:val="21"/>
                <w:lang w:val="en-US" w:eastAsia="zh-CN" w:bidi="zh-CN"/>
              </w:rPr>
            </w:pPr>
            <w:r>
              <w:rPr>
                <w:rFonts w:hint="eastAsia" w:cs="Arial" w:asciiTheme="minorEastAsia" w:hAnsiTheme="minorEastAsia"/>
                <w:kern w:val="0"/>
                <w:szCs w:val="21"/>
                <w:lang w:bidi="zh-CN"/>
              </w:rPr>
              <w:t>1.3头架双钉侧</w:t>
            </w:r>
            <w:r>
              <w:rPr>
                <w:rFonts w:cs="Arial" w:asciiTheme="minorEastAsia" w:hAnsiTheme="minorEastAsia"/>
                <w:kern w:val="0"/>
                <w:szCs w:val="21"/>
                <w:lang w:bidi="zh-CN"/>
              </w:rPr>
              <w:t>遥杆臂可</w:t>
            </w:r>
            <w:r>
              <w:rPr>
                <w:rFonts w:hint="eastAsia" w:cs="Arial" w:asciiTheme="minorEastAsia" w:hAnsiTheme="minorEastAsia"/>
                <w:kern w:val="0"/>
                <w:szCs w:val="21"/>
                <w:lang w:bidi="zh-CN"/>
              </w:rPr>
              <w:t>360°</w:t>
            </w:r>
            <w:r>
              <w:rPr>
                <w:rFonts w:cs="Arial" w:asciiTheme="minorEastAsia" w:hAnsiTheme="minorEastAsia"/>
                <w:kern w:val="0"/>
                <w:szCs w:val="21"/>
                <w:lang w:bidi="zh-CN"/>
              </w:rPr>
              <w:t>旋转，并具有快速固定装置</w:t>
            </w:r>
          </w:p>
        </w:tc>
        <w:tc>
          <w:tcPr>
            <w:tcW w:w="3504" w:type="dxa"/>
            <w:gridSpan w:val="2"/>
            <w:noWrap w:val="0"/>
            <w:vAlign w:val="center"/>
          </w:tcPr>
          <w:p>
            <w:pPr>
              <w:spacing w:line="480" w:lineRule="exact"/>
              <w:rPr>
                <w:rFonts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306" w:type="dxa"/>
            <w:vMerge w:val="restart"/>
            <w:noWrap w:val="0"/>
            <w:vAlign w:val="center"/>
          </w:tcPr>
          <w:p>
            <w:pPr>
              <w:widowControl/>
              <w:jc w:val="left"/>
              <w:rPr>
                <w:rFonts w:eastAsia="宋体" w:cs="Arial" w:asciiTheme="minorEastAsia" w:hAnsiTheme="minorEastAsia"/>
                <w:kern w:val="0"/>
                <w:sz w:val="21"/>
                <w:szCs w:val="21"/>
                <w:lang w:val="en-US" w:eastAsia="zh-CN" w:bidi="zh-CN"/>
              </w:rPr>
            </w:pPr>
            <w:r>
              <w:rPr>
                <w:rFonts w:cs="宋体" w:asciiTheme="minorEastAsia" w:hAnsiTheme="minorEastAsia"/>
                <w:kern w:val="0"/>
                <w:szCs w:val="21"/>
                <w:lang w:bidi="zh-CN"/>
              </w:rPr>
              <w:t>球头万向连接器</w:t>
            </w:r>
          </w:p>
        </w:tc>
        <w:tc>
          <w:tcPr>
            <w:tcW w:w="4573" w:type="dxa"/>
            <w:gridSpan w:val="2"/>
            <w:noWrap w:val="0"/>
            <w:vAlign w:val="center"/>
          </w:tcPr>
          <w:p>
            <w:pPr>
              <w:widowControl/>
              <w:jc w:val="left"/>
              <w:rPr>
                <w:rFonts w:hint="eastAsia" w:eastAsia="宋体" w:cs="Arial" w:asciiTheme="minorEastAsia" w:hAnsiTheme="minorEastAsia"/>
                <w:kern w:val="0"/>
                <w:sz w:val="21"/>
                <w:szCs w:val="21"/>
                <w:lang w:val="en-US" w:eastAsia="zh-CN" w:bidi="zh-CN"/>
              </w:rPr>
            </w:pPr>
            <w:r>
              <w:rPr>
                <w:rFonts w:hint="eastAsia" w:cs="Arial" w:asciiTheme="minorEastAsia" w:hAnsiTheme="minorEastAsia"/>
                <w:kern w:val="0"/>
                <w:szCs w:val="21"/>
                <w:lang w:bidi="zh-CN"/>
              </w:rPr>
              <w:t>2.1球型阻尼轴连接，阻尼球型头镜面纳米工艺制造，表面光滑，非粗制磨砂面</w:t>
            </w:r>
          </w:p>
        </w:tc>
        <w:tc>
          <w:tcPr>
            <w:tcW w:w="3504" w:type="dxa"/>
            <w:gridSpan w:val="2"/>
            <w:noWrap w:val="0"/>
            <w:vAlign w:val="center"/>
          </w:tcPr>
          <w:p>
            <w:pPr>
              <w:spacing w:line="480" w:lineRule="exact"/>
              <w:rPr>
                <w:rFonts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306" w:type="dxa"/>
            <w:vMerge w:val="continue"/>
            <w:noWrap w:val="0"/>
            <w:vAlign w:val="center"/>
          </w:tcPr>
          <w:p>
            <w:pPr>
              <w:widowControl/>
              <w:jc w:val="left"/>
              <w:rPr>
                <w:rFonts w:eastAsia="宋体" w:cs="Arial" w:asciiTheme="minorEastAsia" w:hAnsiTheme="minorEastAsia"/>
                <w:kern w:val="0"/>
                <w:sz w:val="21"/>
                <w:szCs w:val="21"/>
                <w:lang w:val="en-US" w:eastAsia="zh-CN" w:bidi="zh-CN"/>
              </w:rPr>
            </w:pPr>
          </w:p>
        </w:tc>
        <w:tc>
          <w:tcPr>
            <w:tcW w:w="4573" w:type="dxa"/>
            <w:gridSpan w:val="2"/>
            <w:noWrap w:val="0"/>
            <w:vAlign w:val="center"/>
          </w:tcPr>
          <w:p>
            <w:pPr>
              <w:widowControl/>
              <w:jc w:val="left"/>
              <w:rPr>
                <w:rFonts w:hint="eastAsia" w:eastAsia="宋体" w:cs="Arial" w:asciiTheme="minorEastAsia" w:hAnsiTheme="minorEastAsia"/>
                <w:kern w:val="0"/>
                <w:sz w:val="21"/>
                <w:szCs w:val="21"/>
                <w:lang w:val="en-US" w:eastAsia="zh-CN" w:bidi="zh-CN"/>
              </w:rPr>
            </w:pPr>
            <w:r>
              <w:rPr>
                <w:rFonts w:hint="eastAsia" w:cs="Arial" w:asciiTheme="minorEastAsia" w:hAnsiTheme="minorEastAsia"/>
                <w:kern w:val="0"/>
                <w:szCs w:val="21"/>
                <w:lang w:bidi="zh-CN"/>
              </w:rPr>
              <w:t>2.2可360°侧旋转，120°扇形旋转，90°侧卧位固定，内置弹簧卡锁，接口为耐磨的不绣钢螺纹</w:t>
            </w:r>
          </w:p>
        </w:tc>
        <w:tc>
          <w:tcPr>
            <w:tcW w:w="3504" w:type="dxa"/>
            <w:gridSpan w:val="2"/>
            <w:noWrap w:val="0"/>
            <w:vAlign w:val="center"/>
          </w:tcPr>
          <w:p>
            <w:pPr>
              <w:spacing w:line="480" w:lineRule="exact"/>
              <w:rPr>
                <w:rFonts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306" w:type="dxa"/>
            <w:vMerge w:val="continue"/>
            <w:noWrap w:val="0"/>
            <w:vAlign w:val="center"/>
          </w:tcPr>
          <w:p>
            <w:pPr>
              <w:widowControl/>
              <w:jc w:val="left"/>
              <w:rPr>
                <w:rFonts w:eastAsia="宋体" w:cs="Arial" w:asciiTheme="minorEastAsia" w:hAnsiTheme="minorEastAsia"/>
                <w:kern w:val="0"/>
                <w:sz w:val="21"/>
                <w:szCs w:val="21"/>
                <w:lang w:val="en-US" w:eastAsia="zh-CN" w:bidi="zh-CN"/>
              </w:rPr>
            </w:pPr>
          </w:p>
        </w:tc>
        <w:tc>
          <w:tcPr>
            <w:tcW w:w="4573" w:type="dxa"/>
            <w:gridSpan w:val="2"/>
            <w:noWrap w:val="0"/>
            <w:vAlign w:val="center"/>
          </w:tcPr>
          <w:p>
            <w:pPr>
              <w:widowControl/>
              <w:jc w:val="left"/>
              <w:rPr>
                <w:rFonts w:hint="eastAsia" w:eastAsia="宋体" w:cs="Arial" w:asciiTheme="minorEastAsia" w:hAnsiTheme="minorEastAsia"/>
                <w:kern w:val="0"/>
                <w:sz w:val="21"/>
                <w:szCs w:val="21"/>
                <w:lang w:val="en-US" w:eastAsia="zh-CN" w:bidi="zh-CN"/>
              </w:rPr>
            </w:pPr>
            <w:r>
              <w:rPr>
                <w:rFonts w:hint="eastAsia" w:cs="Arial" w:asciiTheme="minorEastAsia" w:hAnsiTheme="minorEastAsia"/>
                <w:kern w:val="0"/>
                <w:szCs w:val="21"/>
                <w:lang w:bidi="zh-CN"/>
              </w:rPr>
              <w:t>▲2.3</w:t>
            </w:r>
            <w:r>
              <w:rPr>
                <w:rFonts w:cs="Arial" w:asciiTheme="minorEastAsia" w:hAnsiTheme="minorEastAsia"/>
                <w:kern w:val="0"/>
                <w:szCs w:val="21"/>
                <w:lang w:bidi="zh-CN"/>
              </w:rPr>
              <w:t>提供</w:t>
            </w:r>
            <w:r>
              <w:rPr>
                <w:rFonts w:hint="eastAsia" w:cs="Arial" w:asciiTheme="minorEastAsia" w:hAnsiTheme="minorEastAsia"/>
                <w:kern w:val="0"/>
                <w:szCs w:val="21"/>
                <w:lang w:bidi="zh-CN"/>
              </w:rPr>
              <w:t>≥3</w:t>
            </w:r>
            <w:r>
              <w:rPr>
                <w:rFonts w:cs="Arial" w:asciiTheme="minorEastAsia" w:hAnsiTheme="minorEastAsia"/>
                <w:kern w:val="0"/>
                <w:szCs w:val="21"/>
                <w:lang w:bidi="zh-CN"/>
              </w:rPr>
              <w:t>种连接器</w:t>
            </w:r>
            <w:r>
              <w:rPr>
                <w:rFonts w:hint="eastAsia" w:cs="Arial" w:asciiTheme="minorEastAsia" w:hAnsiTheme="minorEastAsia"/>
                <w:kern w:val="0"/>
                <w:szCs w:val="21"/>
                <w:lang w:bidi="zh-CN"/>
              </w:rPr>
              <w:t>（万向轴）</w:t>
            </w:r>
            <w:r>
              <w:rPr>
                <w:rFonts w:cs="Arial" w:asciiTheme="minorEastAsia" w:hAnsiTheme="minorEastAsia"/>
                <w:kern w:val="0"/>
                <w:szCs w:val="21"/>
                <w:lang w:bidi="zh-CN"/>
              </w:rPr>
              <w:t>供</w:t>
            </w:r>
            <w:r>
              <w:rPr>
                <w:rFonts w:hint="eastAsia" w:cs="Arial" w:asciiTheme="minorEastAsia" w:hAnsiTheme="minorEastAsia"/>
                <w:kern w:val="0"/>
                <w:szCs w:val="21"/>
                <w:lang w:bidi="zh-CN"/>
              </w:rPr>
              <w:t>采购方</w:t>
            </w:r>
            <w:r>
              <w:rPr>
                <w:rFonts w:cs="Arial" w:asciiTheme="minorEastAsia" w:hAnsiTheme="minorEastAsia"/>
                <w:kern w:val="0"/>
                <w:szCs w:val="21"/>
                <w:lang w:bidi="zh-CN"/>
              </w:rPr>
              <w:t>选择</w:t>
            </w:r>
          </w:p>
        </w:tc>
        <w:tc>
          <w:tcPr>
            <w:tcW w:w="3504" w:type="dxa"/>
            <w:gridSpan w:val="2"/>
            <w:noWrap w:val="0"/>
            <w:vAlign w:val="center"/>
          </w:tcPr>
          <w:p>
            <w:pPr>
              <w:spacing w:line="480" w:lineRule="exact"/>
              <w:rPr>
                <w:rFonts w:ascii="仿宋_GB2312" w:eastAsia="仿宋_GB2312" w:cs="仿宋_GB2312"/>
                <w:szCs w:val="21"/>
              </w:rPr>
            </w:pPr>
            <w:r>
              <w:rPr>
                <w:rFonts w:hint="eastAsia" w:cs="Arial" w:asciiTheme="minorEastAsia" w:hAnsiTheme="minorEastAsia"/>
                <w:kern w:val="0"/>
                <w:szCs w:val="21"/>
                <w:lang w:bidi="zh-CN"/>
              </w:rPr>
              <w:t>越多种越好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306" w:type="dxa"/>
            <w:vMerge w:val="restart"/>
            <w:noWrap w:val="0"/>
            <w:vAlign w:val="center"/>
          </w:tcPr>
          <w:p>
            <w:pPr>
              <w:widowControl/>
              <w:jc w:val="left"/>
              <w:rPr>
                <w:rFonts w:eastAsia="宋体" w:cs="Arial" w:asciiTheme="minorEastAsia" w:hAnsiTheme="minorEastAsia"/>
                <w:kern w:val="0"/>
                <w:sz w:val="21"/>
                <w:szCs w:val="21"/>
                <w:lang w:val="en-US" w:eastAsia="zh-CN" w:bidi="zh-CN"/>
              </w:rPr>
            </w:pPr>
            <w:r>
              <w:rPr>
                <w:rFonts w:hint="eastAsia" w:cs="宋体" w:asciiTheme="minorEastAsia" w:hAnsiTheme="minorEastAsia"/>
                <w:kern w:val="0"/>
                <w:szCs w:val="21"/>
                <w:lang w:bidi="zh-CN"/>
              </w:rPr>
              <w:t>底座</w:t>
            </w:r>
          </w:p>
        </w:tc>
        <w:tc>
          <w:tcPr>
            <w:tcW w:w="4573" w:type="dxa"/>
            <w:gridSpan w:val="2"/>
            <w:noWrap w:val="0"/>
            <w:vAlign w:val="center"/>
          </w:tcPr>
          <w:p>
            <w:pPr>
              <w:widowControl/>
              <w:jc w:val="left"/>
              <w:rPr>
                <w:rFonts w:hint="eastAsia" w:eastAsia="宋体" w:cs="Arial" w:asciiTheme="minorEastAsia" w:hAnsiTheme="minorEastAsia"/>
                <w:kern w:val="0"/>
                <w:sz w:val="21"/>
                <w:szCs w:val="21"/>
                <w:lang w:val="en-US" w:eastAsia="zh-CN" w:bidi="zh-CN"/>
              </w:rPr>
            </w:pPr>
            <w:r>
              <w:rPr>
                <w:rFonts w:hint="eastAsia" w:cs="Arial" w:asciiTheme="minorEastAsia" w:hAnsiTheme="minorEastAsia"/>
                <w:kern w:val="0"/>
                <w:szCs w:val="21"/>
                <w:lang w:bidi="zh-CN"/>
              </w:rPr>
              <w:t>3.1支持通过转接器与任意手术床连接</w:t>
            </w:r>
          </w:p>
        </w:tc>
        <w:tc>
          <w:tcPr>
            <w:tcW w:w="3504" w:type="dxa"/>
            <w:gridSpan w:val="2"/>
            <w:noWrap w:val="0"/>
            <w:vAlign w:val="center"/>
          </w:tcPr>
          <w:p>
            <w:pPr>
              <w:spacing w:line="480" w:lineRule="exact"/>
              <w:rPr>
                <w:rFonts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306" w:type="dxa"/>
            <w:vMerge w:val="continue"/>
            <w:noWrap w:val="0"/>
            <w:vAlign w:val="center"/>
          </w:tcPr>
          <w:p>
            <w:pPr>
              <w:widowControl/>
              <w:jc w:val="left"/>
              <w:rPr>
                <w:rFonts w:eastAsia="宋体" w:cs="Arial" w:asciiTheme="minorEastAsia" w:hAnsiTheme="minorEastAsia"/>
                <w:kern w:val="0"/>
                <w:sz w:val="21"/>
                <w:szCs w:val="21"/>
                <w:lang w:val="en-US" w:eastAsia="zh-CN" w:bidi="zh-CN"/>
              </w:rPr>
            </w:pPr>
          </w:p>
        </w:tc>
        <w:tc>
          <w:tcPr>
            <w:tcW w:w="4573" w:type="dxa"/>
            <w:gridSpan w:val="2"/>
            <w:noWrap w:val="0"/>
            <w:vAlign w:val="center"/>
          </w:tcPr>
          <w:p>
            <w:pPr>
              <w:widowControl/>
              <w:jc w:val="left"/>
              <w:rPr>
                <w:rFonts w:eastAsia="宋体" w:cs="Arial" w:asciiTheme="minorEastAsia" w:hAnsiTheme="minorEastAsia"/>
                <w:kern w:val="0"/>
                <w:sz w:val="21"/>
                <w:szCs w:val="21"/>
                <w:lang w:val="en-US" w:eastAsia="zh-CN" w:bidi="zh-CN"/>
              </w:rPr>
            </w:pPr>
            <w:r>
              <w:rPr>
                <w:rFonts w:cs="Arial" w:asciiTheme="minorEastAsia" w:hAnsiTheme="minorEastAsia"/>
                <w:kern w:val="0"/>
                <w:szCs w:val="21"/>
                <w:lang w:bidi="zh-CN"/>
              </w:rPr>
              <w:t>3.2连床基座复合双锁闭横杆固定，非单锁闭横杆固定</w:t>
            </w:r>
          </w:p>
        </w:tc>
        <w:tc>
          <w:tcPr>
            <w:tcW w:w="3504" w:type="dxa"/>
            <w:gridSpan w:val="2"/>
            <w:noWrap w:val="0"/>
            <w:vAlign w:val="center"/>
          </w:tcPr>
          <w:p>
            <w:pPr>
              <w:spacing w:line="480" w:lineRule="exact"/>
              <w:rPr>
                <w:rFonts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306" w:type="dxa"/>
            <w:vMerge w:val="continue"/>
            <w:noWrap w:val="0"/>
            <w:vAlign w:val="center"/>
          </w:tcPr>
          <w:p>
            <w:pPr>
              <w:widowControl/>
              <w:jc w:val="left"/>
              <w:rPr>
                <w:rFonts w:eastAsia="宋体" w:cs="Arial" w:asciiTheme="minorEastAsia" w:hAnsiTheme="minorEastAsia"/>
                <w:kern w:val="0"/>
                <w:sz w:val="21"/>
                <w:szCs w:val="21"/>
                <w:lang w:val="en-US" w:eastAsia="zh-CN" w:bidi="zh-CN"/>
              </w:rPr>
            </w:pPr>
          </w:p>
        </w:tc>
        <w:tc>
          <w:tcPr>
            <w:tcW w:w="4573" w:type="dxa"/>
            <w:gridSpan w:val="2"/>
            <w:noWrap w:val="0"/>
            <w:vAlign w:val="center"/>
          </w:tcPr>
          <w:p>
            <w:pPr>
              <w:widowControl/>
              <w:jc w:val="left"/>
              <w:rPr>
                <w:rFonts w:eastAsia="宋体" w:cs="Arial" w:asciiTheme="minorEastAsia" w:hAnsiTheme="minorEastAsia"/>
                <w:kern w:val="0"/>
                <w:sz w:val="21"/>
                <w:szCs w:val="21"/>
                <w:lang w:val="en-US" w:eastAsia="zh-CN" w:bidi="zh-CN"/>
              </w:rPr>
            </w:pPr>
            <w:r>
              <w:rPr>
                <w:rFonts w:cs="Arial" w:asciiTheme="minorEastAsia" w:hAnsiTheme="minorEastAsia"/>
                <w:kern w:val="0"/>
                <w:szCs w:val="21"/>
                <w:lang w:bidi="zh-CN"/>
              </w:rPr>
              <w:t>3.3基座插杆间距可调，可与手术床连接，有绝缘垫，复合双锁闭横杆固定扳手镀金防锈处理，附调节扳手</w:t>
            </w:r>
          </w:p>
        </w:tc>
        <w:tc>
          <w:tcPr>
            <w:tcW w:w="3504" w:type="dxa"/>
            <w:gridSpan w:val="2"/>
            <w:noWrap w:val="0"/>
            <w:vAlign w:val="center"/>
          </w:tcPr>
          <w:p>
            <w:pPr>
              <w:spacing w:line="480" w:lineRule="exact"/>
              <w:rPr>
                <w:rFonts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306" w:type="dxa"/>
            <w:vMerge w:val="restart"/>
            <w:noWrap w:val="0"/>
            <w:vAlign w:val="center"/>
          </w:tcPr>
          <w:p>
            <w:pPr>
              <w:widowControl/>
              <w:jc w:val="left"/>
              <w:rPr>
                <w:rFonts w:eastAsia="宋体" w:cs="Arial" w:asciiTheme="minorEastAsia" w:hAnsiTheme="minorEastAsia"/>
                <w:kern w:val="0"/>
                <w:sz w:val="21"/>
                <w:szCs w:val="21"/>
                <w:lang w:val="en-US" w:eastAsia="zh-CN" w:bidi="zh-CN"/>
              </w:rPr>
            </w:pPr>
            <w:r>
              <w:rPr>
                <w:rFonts w:cs="宋体" w:asciiTheme="minorEastAsia" w:hAnsiTheme="minorEastAsia"/>
                <w:kern w:val="0"/>
                <w:szCs w:val="21"/>
                <w:lang w:bidi="zh-CN"/>
              </w:rPr>
              <w:t>软轴牵开器</w:t>
            </w:r>
          </w:p>
        </w:tc>
        <w:tc>
          <w:tcPr>
            <w:tcW w:w="4573" w:type="dxa"/>
            <w:gridSpan w:val="2"/>
            <w:noWrap w:val="0"/>
            <w:vAlign w:val="center"/>
          </w:tcPr>
          <w:p>
            <w:pPr>
              <w:widowControl/>
              <w:jc w:val="left"/>
              <w:rPr>
                <w:rFonts w:hint="eastAsia" w:eastAsia="宋体" w:cs="Arial" w:asciiTheme="minorEastAsia" w:hAnsiTheme="minorEastAsia"/>
                <w:kern w:val="0"/>
                <w:sz w:val="21"/>
                <w:szCs w:val="21"/>
                <w:lang w:val="en-US" w:eastAsia="zh-CN" w:bidi="zh-CN"/>
              </w:rPr>
            </w:pPr>
            <w:r>
              <w:rPr>
                <w:rFonts w:hint="eastAsia" w:cs="Arial" w:asciiTheme="minorEastAsia" w:hAnsiTheme="minorEastAsia"/>
                <w:kern w:val="0"/>
                <w:szCs w:val="21"/>
                <w:lang w:bidi="zh-CN"/>
              </w:rPr>
              <w:t>★4.1软轴牵开器采用头圈设计，由两个半圆金属环连接组成，可折叠</w:t>
            </w:r>
          </w:p>
        </w:tc>
        <w:tc>
          <w:tcPr>
            <w:tcW w:w="3504" w:type="dxa"/>
            <w:gridSpan w:val="2"/>
            <w:noWrap w:val="0"/>
            <w:vAlign w:val="center"/>
          </w:tcPr>
          <w:p>
            <w:pPr>
              <w:spacing w:line="480" w:lineRule="exact"/>
              <w:rPr>
                <w:rFonts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306" w:type="dxa"/>
            <w:vMerge w:val="continue"/>
            <w:noWrap w:val="0"/>
            <w:vAlign w:val="center"/>
          </w:tcPr>
          <w:p>
            <w:pPr>
              <w:widowControl/>
              <w:jc w:val="left"/>
              <w:rPr>
                <w:rFonts w:eastAsia="宋体" w:cs="Arial" w:asciiTheme="minorEastAsia" w:hAnsiTheme="minorEastAsia"/>
                <w:kern w:val="0"/>
                <w:sz w:val="21"/>
                <w:szCs w:val="21"/>
                <w:lang w:val="en-US" w:eastAsia="zh-CN" w:bidi="zh-CN"/>
              </w:rPr>
            </w:pPr>
          </w:p>
        </w:tc>
        <w:tc>
          <w:tcPr>
            <w:tcW w:w="4573" w:type="dxa"/>
            <w:gridSpan w:val="2"/>
            <w:noWrap w:val="0"/>
            <w:vAlign w:val="center"/>
          </w:tcPr>
          <w:p>
            <w:pPr>
              <w:widowControl/>
              <w:jc w:val="left"/>
              <w:rPr>
                <w:rFonts w:hint="eastAsia" w:eastAsia="宋体" w:cs="Arial" w:asciiTheme="minorEastAsia" w:hAnsiTheme="minorEastAsia"/>
                <w:kern w:val="0"/>
                <w:sz w:val="21"/>
                <w:szCs w:val="21"/>
                <w:lang w:val="en-US" w:eastAsia="zh-CN" w:bidi="zh-CN"/>
              </w:rPr>
            </w:pPr>
            <w:r>
              <w:rPr>
                <w:rFonts w:hint="eastAsia" w:cs="Arial" w:asciiTheme="minorEastAsia" w:hAnsiTheme="minorEastAsia"/>
                <w:kern w:val="0"/>
                <w:szCs w:val="21"/>
                <w:lang w:bidi="zh-CN"/>
              </w:rPr>
              <w:t>4.2头圈采用双铰接锁定，头圈的角度可任意调节</w:t>
            </w:r>
          </w:p>
        </w:tc>
        <w:tc>
          <w:tcPr>
            <w:tcW w:w="3504" w:type="dxa"/>
            <w:gridSpan w:val="2"/>
            <w:noWrap w:val="0"/>
            <w:vAlign w:val="center"/>
          </w:tcPr>
          <w:p>
            <w:pPr>
              <w:spacing w:line="480" w:lineRule="exact"/>
              <w:rPr>
                <w:rFonts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306" w:type="dxa"/>
            <w:vMerge w:val="continue"/>
            <w:noWrap w:val="0"/>
            <w:vAlign w:val="center"/>
          </w:tcPr>
          <w:p>
            <w:pPr>
              <w:widowControl/>
              <w:jc w:val="left"/>
              <w:rPr>
                <w:rFonts w:eastAsia="宋体" w:cs="Arial" w:asciiTheme="minorEastAsia" w:hAnsiTheme="minorEastAsia"/>
                <w:kern w:val="0"/>
                <w:sz w:val="21"/>
                <w:szCs w:val="21"/>
                <w:lang w:val="en-US" w:eastAsia="zh-CN" w:bidi="zh-CN"/>
              </w:rPr>
            </w:pPr>
          </w:p>
        </w:tc>
        <w:tc>
          <w:tcPr>
            <w:tcW w:w="4573" w:type="dxa"/>
            <w:gridSpan w:val="2"/>
            <w:noWrap w:val="0"/>
            <w:vAlign w:val="center"/>
          </w:tcPr>
          <w:p>
            <w:pPr>
              <w:widowControl/>
              <w:jc w:val="left"/>
              <w:rPr>
                <w:rFonts w:hint="eastAsia" w:eastAsia="宋体" w:cs="Arial" w:asciiTheme="minorEastAsia" w:hAnsiTheme="minorEastAsia"/>
                <w:kern w:val="0"/>
                <w:sz w:val="21"/>
                <w:szCs w:val="21"/>
                <w:lang w:val="en-US" w:eastAsia="zh-CN" w:bidi="zh-CN"/>
              </w:rPr>
            </w:pPr>
            <w:r>
              <w:rPr>
                <w:rFonts w:hint="eastAsia" w:cs="Arial" w:asciiTheme="minorEastAsia" w:hAnsiTheme="minorEastAsia"/>
                <w:kern w:val="0"/>
                <w:szCs w:val="21"/>
                <w:lang w:bidi="zh-CN"/>
              </w:rPr>
              <w:t>4.3软轴牵开器的任意位置都可安装软轴</w:t>
            </w:r>
          </w:p>
        </w:tc>
        <w:tc>
          <w:tcPr>
            <w:tcW w:w="3504" w:type="dxa"/>
            <w:gridSpan w:val="2"/>
            <w:noWrap w:val="0"/>
            <w:vAlign w:val="center"/>
          </w:tcPr>
          <w:p>
            <w:pPr>
              <w:spacing w:line="480" w:lineRule="exact"/>
              <w:rPr>
                <w:rFonts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306" w:type="dxa"/>
            <w:vMerge w:val="continue"/>
            <w:noWrap w:val="0"/>
            <w:vAlign w:val="center"/>
          </w:tcPr>
          <w:p>
            <w:pPr>
              <w:widowControl/>
              <w:jc w:val="left"/>
              <w:rPr>
                <w:rFonts w:eastAsia="宋体" w:cs="Arial" w:asciiTheme="minorEastAsia" w:hAnsiTheme="minorEastAsia"/>
                <w:kern w:val="0"/>
                <w:sz w:val="21"/>
                <w:szCs w:val="21"/>
                <w:lang w:val="en-US" w:eastAsia="zh-CN" w:bidi="zh-CN"/>
              </w:rPr>
            </w:pPr>
          </w:p>
        </w:tc>
        <w:tc>
          <w:tcPr>
            <w:tcW w:w="4573" w:type="dxa"/>
            <w:gridSpan w:val="2"/>
            <w:noWrap w:val="0"/>
            <w:vAlign w:val="center"/>
          </w:tcPr>
          <w:p>
            <w:pPr>
              <w:widowControl/>
              <w:jc w:val="left"/>
              <w:rPr>
                <w:rFonts w:hint="eastAsia" w:eastAsia="宋体" w:cs="Arial" w:asciiTheme="minorEastAsia" w:hAnsiTheme="minorEastAsia"/>
                <w:kern w:val="0"/>
                <w:sz w:val="21"/>
                <w:szCs w:val="21"/>
                <w:lang w:val="en-US" w:eastAsia="zh-CN" w:bidi="zh-CN"/>
              </w:rPr>
            </w:pPr>
            <w:r>
              <w:rPr>
                <w:rFonts w:hint="eastAsia" w:cs="Arial" w:asciiTheme="minorEastAsia" w:hAnsiTheme="minorEastAsia"/>
                <w:kern w:val="0"/>
                <w:szCs w:val="21"/>
                <w:lang w:bidi="zh-CN"/>
              </w:rPr>
              <w:t>▲4.4软轴牵开器可安装在头夹上，也可通过边轨连接器直接安装在手术床上</w:t>
            </w:r>
          </w:p>
        </w:tc>
        <w:tc>
          <w:tcPr>
            <w:tcW w:w="3504" w:type="dxa"/>
            <w:gridSpan w:val="2"/>
            <w:noWrap w:val="0"/>
            <w:vAlign w:val="center"/>
          </w:tcPr>
          <w:p>
            <w:pPr>
              <w:spacing w:line="480" w:lineRule="exact"/>
              <w:rPr>
                <w:rFonts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306" w:type="dxa"/>
            <w:vMerge w:val="continue"/>
            <w:noWrap w:val="0"/>
            <w:vAlign w:val="center"/>
          </w:tcPr>
          <w:p>
            <w:pPr>
              <w:widowControl/>
              <w:jc w:val="left"/>
              <w:rPr>
                <w:rFonts w:eastAsia="宋体" w:cs="Arial" w:asciiTheme="minorEastAsia" w:hAnsiTheme="minorEastAsia"/>
                <w:kern w:val="0"/>
                <w:sz w:val="21"/>
                <w:szCs w:val="21"/>
                <w:lang w:val="en-US" w:eastAsia="zh-CN" w:bidi="zh-CN"/>
              </w:rPr>
            </w:pPr>
          </w:p>
        </w:tc>
        <w:tc>
          <w:tcPr>
            <w:tcW w:w="4573" w:type="dxa"/>
            <w:gridSpan w:val="2"/>
            <w:noWrap w:val="0"/>
            <w:vAlign w:val="center"/>
          </w:tcPr>
          <w:p>
            <w:pPr>
              <w:widowControl/>
              <w:jc w:val="left"/>
              <w:rPr>
                <w:rFonts w:hint="eastAsia" w:eastAsia="宋体" w:cs="Arial" w:asciiTheme="minorEastAsia" w:hAnsiTheme="minorEastAsia"/>
                <w:kern w:val="0"/>
                <w:sz w:val="21"/>
                <w:szCs w:val="21"/>
                <w:lang w:val="en-US" w:eastAsia="zh-CN" w:bidi="zh-CN"/>
              </w:rPr>
            </w:pPr>
            <w:r>
              <w:rPr>
                <w:rFonts w:hint="eastAsia" w:cs="Arial" w:asciiTheme="minorEastAsia" w:hAnsiTheme="minorEastAsia"/>
                <w:kern w:val="0"/>
                <w:szCs w:val="21"/>
                <w:lang w:bidi="zh-CN"/>
              </w:rPr>
              <w:t>4.5软轴与头圈（J臂）连接</w:t>
            </w:r>
          </w:p>
        </w:tc>
        <w:tc>
          <w:tcPr>
            <w:tcW w:w="3504" w:type="dxa"/>
            <w:gridSpan w:val="2"/>
            <w:noWrap w:val="0"/>
            <w:vAlign w:val="center"/>
          </w:tcPr>
          <w:p>
            <w:pPr>
              <w:spacing w:line="480" w:lineRule="exact"/>
              <w:rPr>
                <w:rFonts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306" w:type="dxa"/>
            <w:vMerge w:val="continue"/>
            <w:noWrap w:val="0"/>
            <w:vAlign w:val="center"/>
          </w:tcPr>
          <w:p>
            <w:pPr>
              <w:widowControl/>
              <w:jc w:val="left"/>
              <w:rPr>
                <w:rFonts w:eastAsia="宋体" w:cs="Arial" w:asciiTheme="minorEastAsia" w:hAnsiTheme="minorEastAsia"/>
                <w:kern w:val="0"/>
                <w:sz w:val="21"/>
                <w:szCs w:val="21"/>
                <w:lang w:val="en-US" w:eastAsia="zh-CN" w:bidi="zh-CN"/>
              </w:rPr>
            </w:pPr>
          </w:p>
        </w:tc>
        <w:tc>
          <w:tcPr>
            <w:tcW w:w="4573" w:type="dxa"/>
            <w:gridSpan w:val="2"/>
            <w:noWrap w:val="0"/>
            <w:vAlign w:val="center"/>
          </w:tcPr>
          <w:p>
            <w:pPr>
              <w:widowControl/>
              <w:jc w:val="left"/>
              <w:rPr>
                <w:rFonts w:hint="eastAsia" w:eastAsia="宋体" w:cs="Arial" w:asciiTheme="minorEastAsia" w:hAnsiTheme="minorEastAsia"/>
                <w:kern w:val="0"/>
                <w:sz w:val="21"/>
                <w:szCs w:val="21"/>
                <w:lang w:val="en-US" w:eastAsia="zh-CN" w:bidi="zh-CN"/>
              </w:rPr>
            </w:pPr>
            <w:r>
              <w:rPr>
                <w:rFonts w:hint="eastAsia" w:cs="Arial" w:asciiTheme="minorEastAsia" w:hAnsiTheme="minorEastAsia"/>
                <w:kern w:val="0"/>
                <w:szCs w:val="21"/>
                <w:lang w:bidi="zh-CN"/>
              </w:rPr>
              <w:t>▲4.6软轴可在头圈上实现360º连续无中断牵拉</w:t>
            </w:r>
          </w:p>
        </w:tc>
        <w:tc>
          <w:tcPr>
            <w:tcW w:w="3504" w:type="dxa"/>
            <w:gridSpan w:val="2"/>
            <w:noWrap w:val="0"/>
            <w:vAlign w:val="center"/>
          </w:tcPr>
          <w:p>
            <w:pPr>
              <w:spacing w:line="480" w:lineRule="exact"/>
              <w:rPr>
                <w:rFonts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306" w:type="dxa"/>
            <w:vMerge w:val="continue"/>
            <w:noWrap w:val="0"/>
            <w:vAlign w:val="center"/>
          </w:tcPr>
          <w:p>
            <w:pPr>
              <w:widowControl/>
              <w:jc w:val="left"/>
              <w:rPr>
                <w:rFonts w:eastAsia="宋体" w:cs="Arial" w:asciiTheme="minorEastAsia" w:hAnsiTheme="minorEastAsia"/>
                <w:kern w:val="0"/>
                <w:sz w:val="21"/>
                <w:szCs w:val="21"/>
                <w:lang w:val="en-US" w:eastAsia="zh-CN" w:bidi="zh-CN"/>
              </w:rPr>
            </w:pPr>
          </w:p>
        </w:tc>
        <w:tc>
          <w:tcPr>
            <w:tcW w:w="4573" w:type="dxa"/>
            <w:gridSpan w:val="2"/>
            <w:noWrap w:val="0"/>
            <w:vAlign w:val="center"/>
          </w:tcPr>
          <w:p>
            <w:pPr>
              <w:widowControl/>
              <w:jc w:val="left"/>
              <w:rPr>
                <w:rFonts w:hint="eastAsia" w:eastAsia="宋体" w:cs="Arial" w:asciiTheme="minorEastAsia" w:hAnsiTheme="minorEastAsia"/>
                <w:kern w:val="0"/>
                <w:sz w:val="21"/>
                <w:szCs w:val="21"/>
                <w:lang w:val="en-US" w:eastAsia="zh-CN" w:bidi="zh-CN"/>
              </w:rPr>
            </w:pPr>
            <w:r>
              <w:rPr>
                <w:rFonts w:hint="eastAsia" w:cs="Arial" w:asciiTheme="minorEastAsia" w:hAnsiTheme="minorEastAsia"/>
                <w:kern w:val="0"/>
                <w:szCs w:val="21"/>
                <w:lang w:bidi="zh-CN"/>
              </w:rPr>
              <w:t>4.7脑压板有多种型号，常规脑压板长≥101.6mm，宽6.4～25.4mm；显微脑压板长114.3～190.5mm，宽2～4mm</w:t>
            </w:r>
          </w:p>
        </w:tc>
        <w:tc>
          <w:tcPr>
            <w:tcW w:w="3504" w:type="dxa"/>
            <w:gridSpan w:val="2"/>
            <w:noWrap w:val="0"/>
            <w:vAlign w:val="center"/>
          </w:tcPr>
          <w:p>
            <w:pPr>
              <w:spacing w:line="480" w:lineRule="exact"/>
              <w:rPr>
                <w:rFonts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306" w:type="dxa"/>
            <w:noWrap w:val="0"/>
            <w:vAlign w:val="center"/>
          </w:tcPr>
          <w:p>
            <w:pPr>
              <w:widowControl/>
              <w:jc w:val="left"/>
              <w:rPr>
                <w:rFonts w:eastAsia="宋体" w:cs="Arial" w:asciiTheme="minorEastAsia" w:hAnsiTheme="minorEastAsia"/>
                <w:kern w:val="0"/>
                <w:sz w:val="21"/>
                <w:szCs w:val="21"/>
                <w:lang w:val="en-US" w:eastAsia="zh-CN" w:bidi="zh-CN"/>
              </w:rPr>
            </w:pPr>
          </w:p>
        </w:tc>
        <w:tc>
          <w:tcPr>
            <w:tcW w:w="4573" w:type="dxa"/>
            <w:gridSpan w:val="2"/>
            <w:noWrap w:val="0"/>
            <w:vAlign w:val="center"/>
          </w:tcPr>
          <w:p>
            <w:pPr>
              <w:widowControl/>
              <w:jc w:val="left"/>
              <w:rPr>
                <w:rFonts w:hint="eastAsia" w:eastAsia="宋体" w:cs="Arial" w:asciiTheme="minorEastAsia" w:hAnsiTheme="minorEastAsia"/>
                <w:kern w:val="0"/>
                <w:sz w:val="21"/>
                <w:szCs w:val="21"/>
                <w:lang w:val="en-US" w:eastAsia="zh-CN" w:bidi="zh-CN"/>
              </w:rPr>
            </w:pPr>
            <w:r>
              <w:rPr>
                <w:rFonts w:hint="eastAsia" w:cs="Arial" w:asciiTheme="minorEastAsia" w:hAnsiTheme="minorEastAsia"/>
                <w:kern w:val="0"/>
                <w:szCs w:val="21"/>
                <w:lang w:bidi="zh-CN"/>
              </w:rPr>
              <w:t>5.马蹄形头托采用凝胶垫，宽度、角度和高度可自由调节</w:t>
            </w:r>
          </w:p>
        </w:tc>
        <w:tc>
          <w:tcPr>
            <w:tcW w:w="3504" w:type="dxa"/>
            <w:gridSpan w:val="2"/>
            <w:noWrap w:val="0"/>
            <w:vAlign w:val="center"/>
          </w:tcPr>
          <w:p>
            <w:pPr>
              <w:spacing w:line="480" w:lineRule="exact"/>
              <w:rPr>
                <w:rFonts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306" w:type="dxa"/>
            <w:noWrap w:val="0"/>
            <w:vAlign w:val="center"/>
          </w:tcPr>
          <w:p>
            <w:pPr>
              <w:widowControl/>
              <w:jc w:val="left"/>
              <w:rPr>
                <w:rFonts w:eastAsia="宋体" w:cs="Arial" w:asciiTheme="minorEastAsia" w:hAnsiTheme="minorEastAsia"/>
                <w:kern w:val="0"/>
                <w:sz w:val="21"/>
                <w:szCs w:val="21"/>
                <w:lang w:val="en-US" w:eastAsia="zh-CN" w:bidi="zh-CN"/>
              </w:rPr>
            </w:pPr>
          </w:p>
        </w:tc>
        <w:tc>
          <w:tcPr>
            <w:tcW w:w="4573" w:type="dxa"/>
            <w:gridSpan w:val="2"/>
            <w:noWrap w:val="0"/>
            <w:vAlign w:val="center"/>
          </w:tcPr>
          <w:p>
            <w:pPr>
              <w:widowControl/>
              <w:jc w:val="left"/>
              <w:rPr>
                <w:rFonts w:hint="eastAsia" w:eastAsia="宋体" w:cs="Arial" w:asciiTheme="minorEastAsia" w:hAnsiTheme="minorEastAsia"/>
                <w:kern w:val="0"/>
                <w:sz w:val="21"/>
                <w:szCs w:val="21"/>
                <w:lang w:val="en-US" w:eastAsia="zh-CN" w:bidi="zh-CN"/>
              </w:rPr>
            </w:pPr>
            <w:r>
              <w:rPr>
                <w:rFonts w:hint="eastAsia" w:cs="Arial" w:asciiTheme="minorEastAsia" w:hAnsiTheme="minorEastAsia"/>
                <w:kern w:val="0"/>
                <w:szCs w:val="21"/>
                <w:lang w:bidi="zh-CN"/>
              </w:rPr>
              <w:t>6.支持与任何手术床连接</w:t>
            </w:r>
          </w:p>
        </w:tc>
        <w:tc>
          <w:tcPr>
            <w:tcW w:w="3504" w:type="dxa"/>
            <w:gridSpan w:val="2"/>
            <w:noWrap w:val="0"/>
            <w:vAlign w:val="center"/>
          </w:tcPr>
          <w:p>
            <w:pPr>
              <w:spacing w:line="480" w:lineRule="exact"/>
              <w:rPr>
                <w:rFonts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383" w:type="dxa"/>
            <w:gridSpan w:val="5"/>
            <w:noWrap w:val="0"/>
            <w:vAlign w:val="center"/>
          </w:tcPr>
          <w:p>
            <w:pPr>
              <w:spacing w:line="480" w:lineRule="exact"/>
              <w:rPr>
                <w:rFonts w:hint="eastAsia" w:ascii="仿宋_GB2312" w:eastAsia="仿宋_GB2312" w:cs="仿宋_GB2312"/>
                <w:szCs w:val="21"/>
              </w:rPr>
            </w:pPr>
            <w:r>
              <w:rPr>
                <w:rFonts w:hint="eastAsia" w:ascii="仿宋_GB2312" w:eastAsia="仿宋_GB2312" w:cs="仿宋_GB2312"/>
                <w:szCs w:val="21"/>
              </w:rPr>
              <w:t>（“★”和 正偏离参数请在“技术指标参数响应偏离表”中标注对应支撑材料页码）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7189" w:type="dxa"/>
            <w:gridSpan w:val="4"/>
            <w:noWrap w:val="0"/>
            <w:vAlign w:val="center"/>
          </w:tcPr>
          <w:p>
            <w:pPr>
              <w:spacing w:line="300" w:lineRule="exact"/>
              <w:jc w:val="center"/>
              <w:rPr>
                <w:rFonts w:ascii="宋体" w:hAnsi="宋体" w:cs="华文中宋"/>
                <w:b/>
                <w:bCs/>
                <w:szCs w:val="21"/>
              </w:rPr>
            </w:pPr>
            <w:r>
              <w:rPr>
                <w:rFonts w:hint="eastAsia" w:ascii="宋体" w:hAnsi="宋体" w:cs="华文中宋"/>
                <w:b/>
                <w:bCs/>
                <w:szCs w:val="21"/>
              </w:rPr>
              <w:t>单</w:t>
            </w:r>
            <w:r>
              <w:rPr>
                <w:rFonts w:hint="eastAsia" w:ascii="宋体" w:hAnsi="宋体" w:cs="华文中宋"/>
                <w:b/>
                <w:bCs/>
                <w:szCs w:val="21"/>
                <w:lang w:eastAsia="zh-CN"/>
              </w:rPr>
              <w:t>套</w:t>
            </w:r>
            <w:r>
              <w:rPr>
                <w:rFonts w:hint="eastAsia" w:ascii="宋体" w:hAnsi="宋体" w:cs="华文中宋"/>
                <w:b/>
                <w:bCs/>
                <w:szCs w:val="21"/>
              </w:rPr>
              <w:t>设备配置清单</w:t>
            </w:r>
          </w:p>
        </w:tc>
        <w:tc>
          <w:tcPr>
            <w:tcW w:w="2194" w:type="dxa"/>
            <w:noWrap w:val="0"/>
            <w:vAlign w:val="center"/>
          </w:tcPr>
          <w:p>
            <w:pPr>
              <w:jc w:val="center"/>
              <w:rPr>
                <w:rFonts w:ascii="宋体" w:hAnsi="宋体" w:cs="华文中宋"/>
                <w:b/>
                <w:bCs/>
                <w:szCs w:val="21"/>
              </w:rPr>
            </w:pPr>
            <w:r>
              <w:rPr>
                <w:rFonts w:hint="eastAsia" w:ascii="宋体" w:hAnsi="宋体" w:cs="华文中宋"/>
                <w:b/>
                <w:bCs/>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4"/>
            <w:noWrap w:val="0"/>
            <w:vAlign w:val="center"/>
          </w:tcPr>
          <w:p>
            <w:pPr>
              <w:jc w:val="center"/>
              <w:rPr>
                <w:rFonts w:eastAsia="宋体" w:cs="宋体" w:asciiTheme="minorEastAsia" w:hAnsiTheme="minorEastAsia"/>
                <w:kern w:val="0"/>
                <w:sz w:val="21"/>
                <w:szCs w:val="21"/>
                <w:lang w:val="en-US" w:eastAsia="zh-CN" w:bidi="zh-CN"/>
              </w:rPr>
            </w:pPr>
            <w:r>
              <w:rPr>
                <w:rFonts w:hint="eastAsia" w:cs="宋体" w:asciiTheme="minorEastAsia" w:hAnsiTheme="minorEastAsia"/>
                <w:kern w:val="0"/>
                <w:szCs w:val="21"/>
                <w:lang w:bidi="zh-CN"/>
              </w:rPr>
              <w:t>头夹</w:t>
            </w:r>
          </w:p>
        </w:tc>
        <w:tc>
          <w:tcPr>
            <w:tcW w:w="2194" w:type="dxa"/>
            <w:noWrap w:val="0"/>
            <w:vAlign w:val="center"/>
          </w:tcPr>
          <w:p>
            <w:pPr>
              <w:jc w:val="center"/>
              <w:rPr>
                <w:szCs w:val="21"/>
              </w:rPr>
            </w:pPr>
            <w:r>
              <w:rPr>
                <w:rFonts w:hint="eastAsia" w:cs="宋体" w:asciiTheme="minorEastAsia" w:hAnsiTheme="minorEastAsia"/>
                <w:kern w:val="0"/>
                <w:szCs w:val="21"/>
                <w:lang w:val="en-US" w:bidi="zh-CN"/>
              </w:rPr>
              <w:t>1</w:t>
            </w:r>
            <w:r>
              <w:rPr>
                <w:rFonts w:hint="eastAsia" w:cs="宋体" w:asciiTheme="minorEastAsia" w:hAnsiTheme="minorEastAsia"/>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4"/>
            <w:noWrap w:val="0"/>
            <w:vAlign w:val="center"/>
          </w:tcPr>
          <w:p>
            <w:pPr>
              <w:jc w:val="center"/>
              <w:rPr>
                <w:rFonts w:eastAsia="宋体" w:cs="宋体" w:asciiTheme="minorEastAsia" w:hAnsiTheme="minorEastAsia"/>
                <w:kern w:val="0"/>
                <w:sz w:val="21"/>
                <w:szCs w:val="21"/>
                <w:lang w:val="en-US" w:eastAsia="zh-CN" w:bidi="zh-CN"/>
              </w:rPr>
            </w:pPr>
            <w:r>
              <w:rPr>
                <w:rFonts w:hint="eastAsia" w:cs="宋体" w:asciiTheme="minorEastAsia" w:hAnsiTheme="minorEastAsia"/>
                <w:kern w:val="0"/>
                <w:szCs w:val="21"/>
                <w:lang w:bidi="zh-CN"/>
              </w:rPr>
              <w:t>连接器（万向轴）,含360°旋转和90°倾斜方式</w:t>
            </w:r>
          </w:p>
        </w:tc>
        <w:tc>
          <w:tcPr>
            <w:tcW w:w="2194" w:type="dxa"/>
            <w:noWrap w:val="0"/>
            <w:vAlign w:val="center"/>
          </w:tcPr>
          <w:p>
            <w:pPr>
              <w:jc w:val="center"/>
              <w:rPr>
                <w:szCs w:val="21"/>
              </w:rPr>
            </w:pPr>
            <w:r>
              <w:rPr>
                <w:rFonts w:hint="eastAsia" w:cs="宋体" w:asciiTheme="minorEastAsia" w:hAnsiTheme="minorEastAsia"/>
                <w:kern w:val="0"/>
                <w:szCs w:val="21"/>
                <w:lang w:val="en-US" w:bidi="zh-CN"/>
              </w:rPr>
              <w:t>1</w:t>
            </w:r>
            <w:r>
              <w:rPr>
                <w:rFonts w:hint="eastAsia" w:cs="宋体" w:asciiTheme="minorEastAsia" w:hAnsiTheme="minorEastAsia"/>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4"/>
            <w:noWrap w:val="0"/>
            <w:vAlign w:val="center"/>
          </w:tcPr>
          <w:p>
            <w:pPr>
              <w:jc w:val="center"/>
              <w:rPr>
                <w:rFonts w:eastAsia="宋体" w:cs="宋体" w:asciiTheme="minorEastAsia" w:hAnsiTheme="minorEastAsia"/>
                <w:kern w:val="0"/>
                <w:sz w:val="21"/>
                <w:szCs w:val="21"/>
                <w:lang w:val="en-US" w:eastAsia="zh-CN" w:bidi="zh-CN"/>
              </w:rPr>
            </w:pPr>
            <w:r>
              <w:rPr>
                <w:rFonts w:hint="eastAsia" w:cs="宋体" w:asciiTheme="minorEastAsia" w:hAnsiTheme="minorEastAsia"/>
                <w:kern w:val="0"/>
                <w:szCs w:val="21"/>
                <w:lang w:bidi="zh-CN"/>
              </w:rPr>
              <w:t>底座</w:t>
            </w:r>
          </w:p>
        </w:tc>
        <w:tc>
          <w:tcPr>
            <w:tcW w:w="2194" w:type="dxa"/>
            <w:noWrap w:val="0"/>
            <w:vAlign w:val="center"/>
          </w:tcPr>
          <w:p>
            <w:pPr>
              <w:jc w:val="center"/>
              <w:rPr>
                <w:szCs w:val="21"/>
              </w:rPr>
            </w:pPr>
            <w:r>
              <w:rPr>
                <w:rFonts w:hint="eastAsia" w:cs="宋体" w:asciiTheme="minorEastAsia" w:hAnsiTheme="minorEastAsia"/>
                <w:kern w:val="0"/>
                <w:szCs w:val="21"/>
                <w:lang w:val="en-US" w:bidi="zh-CN"/>
              </w:rPr>
              <w:t>1</w:t>
            </w:r>
            <w:r>
              <w:rPr>
                <w:rFonts w:hint="eastAsia" w:cs="宋体" w:asciiTheme="minorEastAsia" w:hAnsiTheme="minorEastAsia"/>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4"/>
            <w:noWrap w:val="0"/>
            <w:vAlign w:val="center"/>
          </w:tcPr>
          <w:p>
            <w:pPr>
              <w:jc w:val="center"/>
              <w:rPr>
                <w:rFonts w:eastAsia="宋体" w:cs="宋体" w:asciiTheme="minorEastAsia" w:hAnsiTheme="minorEastAsia"/>
                <w:kern w:val="0"/>
                <w:sz w:val="21"/>
                <w:szCs w:val="21"/>
                <w:lang w:val="en-US" w:eastAsia="zh-CN" w:bidi="zh-CN"/>
              </w:rPr>
            </w:pPr>
            <w:r>
              <w:rPr>
                <w:rFonts w:hint="eastAsia" w:cs="宋体" w:asciiTheme="minorEastAsia" w:hAnsiTheme="minorEastAsia"/>
                <w:kern w:val="0"/>
                <w:szCs w:val="21"/>
                <w:lang w:bidi="zh-CN"/>
              </w:rPr>
              <w:t>可重复使用成人头钉</w:t>
            </w:r>
          </w:p>
        </w:tc>
        <w:tc>
          <w:tcPr>
            <w:tcW w:w="2194" w:type="dxa"/>
            <w:noWrap w:val="0"/>
            <w:vAlign w:val="center"/>
          </w:tcPr>
          <w:p>
            <w:pPr>
              <w:jc w:val="center"/>
              <w:rPr>
                <w:szCs w:val="21"/>
              </w:rPr>
            </w:pPr>
            <w:r>
              <w:rPr>
                <w:rFonts w:hint="eastAsia" w:cs="宋体" w:asciiTheme="minorEastAsia" w:hAnsiTheme="minorEastAsia"/>
                <w:kern w:val="0"/>
                <w:szCs w:val="21"/>
                <w:lang w:val="en-US" w:bidi="zh-CN"/>
              </w:rPr>
              <w:t>3</w:t>
            </w:r>
            <w:r>
              <w:rPr>
                <w:rFonts w:hint="eastAsia" w:cs="宋体" w:asciiTheme="minorEastAsia" w:hAnsiTheme="minorEastAsia"/>
                <w:kern w:val="0"/>
                <w:szCs w:val="21"/>
                <w:lang w:bidi="zh-CN"/>
              </w:rPr>
              <w:t>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4"/>
            <w:noWrap w:val="0"/>
            <w:vAlign w:val="center"/>
          </w:tcPr>
          <w:p>
            <w:pPr>
              <w:jc w:val="center"/>
              <w:rPr>
                <w:rFonts w:eastAsia="宋体" w:cs="宋体" w:asciiTheme="minorEastAsia" w:hAnsiTheme="minorEastAsia"/>
                <w:kern w:val="0"/>
                <w:sz w:val="21"/>
                <w:szCs w:val="21"/>
                <w:lang w:val="en-US" w:eastAsia="zh-CN" w:bidi="zh-CN"/>
              </w:rPr>
            </w:pPr>
            <w:r>
              <w:rPr>
                <w:rFonts w:hint="eastAsia" w:cs="宋体" w:asciiTheme="minorEastAsia" w:hAnsiTheme="minorEastAsia"/>
                <w:kern w:val="0"/>
                <w:szCs w:val="21"/>
                <w:lang w:bidi="zh-CN"/>
              </w:rPr>
              <w:t>马蹄形头托</w:t>
            </w:r>
          </w:p>
        </w:tc>
        <w:tc>
          <w:tcPr>
            <w:tcW w:w="2194" w:type="dxa"/>
            <w:noWrap w:val="0"/>
            <w:vAlign w:val="center"/>
          </w:tcPr>
          <w:p>
            <w:pPr>
              <w:jc w:val="center"/>
              <w:rPr>
                <w:szCs w:val="21"/>
              </w:rPr>
            </w:pPr>
            <w:r>
              <w:rPr>
                <w:rFonts w:hint="eastAsia" w:cs="宋体" w:asciiTheme="minorEastAsia" w:hAnsiTheme="minorEastAsia"/>
                <w:kern w:val="0"/>
                <w:szCs w:val="21"/>
                <w:lang w:val="en-US" w:bidi="zh-CN"/>
              </w:rPr>
              <w:t>1</w:t>
            </w:r>
            <w:r>
              <w:rPr>
                <w:rFonts w:hint="eastAsia" w:cs="宋体" w:asciiTheme="minorEastAsia" w:hAnsiTheme="minorEastAsia"/>
                <w:kern w:val="0"/>
                <w:szCs w:val="21"/>
                <w:lang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4"/>
            <w:noWrap w:val="0"/>
            <w:vAlign w:val="center"/>
          </w:tcPr>
          <w:p>
            <w:pPr>
              <w:jc w:val="center"/>
              <w:rPr>
                <w:rFonts w:eastAsia="宋体" w:cs="宋体" w:asciiTheme="minorEastAsia" w:hAnsiTheme="minorEastAsia"/>
                <w:kern w:val="0"/>
                <w:sz w:val="21"/>
                <w:szCs w:val="21"/>
                <w:lang w:val="en-US" w:eastAsia="zh-CN" w:bidi="zh-CN"/>
              </w:rPr>
            </w:pPr>
            <w:r>
              <w:rPr>
                <w:rFonts w:hint="eastAsia" w:cs="宋体" w:asciiTheme="minorEastAsia" w:hAnsiTheme="minorEastAsia"/>
                <w:kern w:val="0"/>
                <w:szCs w:val="21"/>
                <w:lang w:bidi="zh-CN"/>
              </w:rPr>
              <w:t>软轴牵开器</w:t>
            </w:r>
          </w:p>
        </w:tc>
        <w:tc>
          <w:tcPr>
            <w:tcW w:w="2194" w:type="dxa"/>
            <w:noWrap w:val="0"/>
            <w:vAlign w:val="center"/>
          </w:tcPr>
          <w:p>
            <w:pPr>
              <w:jc w:val="center"/>
              <w:rPr>
                <w:szCs w:val="21"/>
              </w:rPr>
            </w:pPr>
            <w:r>
              <w:rPr>
                <w:rFonts w:hint="eastAsia" w:cs="宋体" w:asciiTheme="minorEastAsia" w:hAnsiTheme="minorEastAsia"/>
                <w:kern w:val="0"/>
                <w:szCs w:val="21"/>
                <w:lang w:val="en-US" w:bidi="zh-CN"/>
              </w:rPr>
              <w:t>1</w:t>
            </w:r>
            <w:r>
              <w:rPr>
                <w:rFonts w:hint="eastAsia" w:cs="宋体" w:asciiTheme="minorEastAsia" w:hAnsiTheme="minorEastAsia"/>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4"/>
            <w:noWrap w:val="0"/>
            <w:vAlign w:val="center"/>
          </w:tcPr>
          <w:p>
            <w:pPr>
              <w:jc w:val="center"/>
              <w:rPr>
                <w:rFonts w:eastAsia="宋体" w:cs="宋体" w:asciiTheme="minorEastAsia" w:hAnsiTheme="minorEastAsia"/>
                <w:kern w:val="0"/>
                <w:sz w:val="21"/>
                <w:szCs w:val="21"/>
                <w:lang w:val="en-US" w:eastAsia="zh-CN" w:bidi="zh-CN"/>
              </w:rPr>
            </w:pPr>
            <w:r>
              <w:rPr>
                <w:rFonts w:hint="eastAsia" w:cs="宋体" w:asciiTheme="minorEastAsia" w:hAnsiTheme="minorEastAsia"/>
                <w:kern w:val="0"/>
                <w:szCs w:val="21"/>
                <w:lang w:bidi="zh-CN"/>
              </w:rPr>
              <w:t>转接器</w:t>
            </w:r>
          </w:p>
        </w:tc>
        <w:tc>
          <w:tcPr>
            <w:tcW w:w="2194" w:type="dxa"/>
            <w:noWrap w:val="0"/>
            <w:vAlign w:val="center"/>
          </w:tcPr>
          <w:p>
            <w:pPr>
              <w:jc w:val="center"/>
              <w:rPr>
                <w:szCs w:val="21"/>
              </w:rPr>
            </w:pPr>
            <w:r>
              <w:rPr>
                <w:rFonts w:hint="eastAsia" w:cs="宋体" w:asciiTheme="minorEastAsia" w:hAnsiTheme="minorEastAsia"/>
                <w:kern w:val="0"/>
                <w:szCs w:val="21"/>
                <w:lang w:val="en-US" w:bidi="zh-CN"/>
              </w:rPr>
              <w:t>1</w:t>
            </w:r>
            <w:r>
              <w:rPr>
                <w:rFonts w:hint="eastAsia" w:cs="宋体" w:asciiTheme="minorEastAsia" w:hAnsiTheme="minorEastAsia"/>
                <w:kern w:val="0"/>
                <w:szCs w:val="21"/>
                <w:lang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4"/>
            <w:noWrap w:val="0"/>
            <w:vAlign w:val="center"/>
          </w:tcPr>
          <w:p>
            <w:pPr>
              <w:jc w:val="center"/>
              <w:rPr>
                <w:rFonts w:eastAsia="宋体" w:cs="宋体" w:asciiTheme="minorEastAsia" w:hAnsiTheme="minorEastAsia"/>
                <w:kern w:val="0"/>
                <w:sz w:val="21"/>
                <w:szCs w:val="21"/>
                <w:lang w:val="en-US" w:eastAsia="zh-CN" w:bidi="zh-CN"/>
              </w:rPr>
            </w:pPr>
            <w:r>
              <w:rPr>
                <w:rFonts w:hint="eastAsia" w:cs="宋体" w:asciiTheme="minorEastAsia" w:hAnsiTheme="minorEastAsia"/>
                <w:kern w:val="0"/>
                <w:szCs w:val="21"/>
                <w:lang w:bidi="zh-CN"/>
              </w:rPr>
              <w:t>消毒盒</w:t>
            </w:r>
          </w:p>
        </w:tc>
        <w:tc>
          <w:tcPr>
            <w:tcW w:w="2194" w:type="dxa"/>
            <w:noWrap w:val="0"/>
            <w:vAlign w:val="center"/>
          </w:tcPr>
          <w:p>
            <w:pPr>
              <w:jc w:val="center"/>
              <w:rPr>
                <w:szCs w:val="21"/>
              </w:rPr>
            </w:pPr>
            <w:r>
              <w:rPr>
                <w:rFonts w:hint="eastAsia" w:cs="宋体" w:asciiTheme="minorEastAsia" w:hAnsiTheme="minorEastAsia"/>
                <w:kern w:val="0"/>
                <w:szCs w:val="21"/>
                <w:lang w:val="en-US" w:bidi="zh-CN"/>
              </w:rPr>
              <w:t>1</w:t>
            </w:r>
            <w:r>
              <w:rPr>
                <w:rFonts w:hint="eastAsia" w:cs="宋体" w:asciiTheme="minorEastAsia" w:hAnsiTheme="minorEastAsia"/>
                <w:kern w:val="0"/>
                <w:szCs w:val="21"/>
                <w:lang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9383" w:type="dxa"/>
            <w:gridSpan w:val="5"/>
            <w:noWrap w:val="0"/>
            <w:vAlign w:val="top"/>
          </w:tcPr>
          <w:p>
            <w:pPr>
              <w:ind w:left="0" w:hanging="630" w:hangingChars="300"/>
              <w:jc w:val="left"/>
              <w:rPr>
                <w:rFonts w:hint="eastAsia"/>
              </w:rPr>
            </w:pPr>
            <w:r>
              <w:t>备注： 1、带“★”符号项目为必须满足指标，若出现一项负偏离，则视为废标 ，需逐条说明具体理由</w:t>
            </w:r>
            <w:r>
              <w:rPr>
                <w:rFonts w:hint="eastAsia"/>
              </w:rPr>
              <w:t xml:space="preserve"> </w:t>
            </w:r>
            <w:r>
              <w:t xml:space="preserve">  </w:t>
            </w:r>
          </w:p>
          <w:p>
            <w:pPr>
              <w:ind w:left="0" w:hanging="630" w:hangingChars="300"/>
              <w:jc w:val="left"/>
              <w:rPr>
                <w:rFonts w:hint="eastAsia"/>
              </w:rPr>
            </w:pPr>
            <w:r>
              <w:t>2、带“▲”符号项目为重要指标</w:t>
            </w:r>
          </w:p>
          <w:p>
            <w:pPr>
              <w:ind w:left="0" w:hanging="630" w:hangingChars="300"/>
              <w:jc w:val="left"/>
            </w:pPr>
            <w:r>
              <w:t>3、其他项目为一般指标</w:t>
            </w:r>
          </w:p>
          <w:p>
            <w:pPr>
              <w:pStyle w:val="17"/>
              <w:spacing w:after="0"/>
              <w:ind w:firstLine="0"/>
            </w:pPr>
            <w:r>
              <w:rPr>
                <w:rFonts w:hint="eastAsia"/>
              </w:rPr>
              <w:t>4、</w:t>
            </w:r>
            <w:r>
              <w:rPr>
                <w:rFonts w:hint="eastAsia" w:ascii="宋体" w:hAnsi="宋体" w:cs="华文中宋"/>
                <w:b/>
                <w:bCs/>
                <w:szCs w:val="21"/>
              </w:rPr>
              <w:t>设备配置清单在</w:t>
            </w:r>
            <w:r>
              <w:rPr>
                <w:rFonts w:hint="eastAsia" w:ascii="宋体" w:hAnsi="宋体" w:cs="华文中宋"/>
                <w:b/>
                <w:bCs/>
                <w:szCs w:val="21"/>
                <w:lang w:eastAsia="zh-CN"/>
              </w:rPr>
              <w:t>商务技术文件</w:t>
            </w:r>
            <w:r>
              <w:rPr>
                <w:rFonts w:hint="eastAsia" w:ascii="宋体" w:hAnsi="宋体" w:cs="华文中宋"/>
                <w:b/>
                <w:bCs/>
                <w:szCs w:val="21"/>
              </w:rPr>
              <w:t>-交货清单中响应即可。</w:t>
            </w:r>
          </w:p>
        </w:tc>
      </w:tr>
    </w:tbl>
    <w:p>
      <w:pPr>
        <w:pStyle w:val="158"/>
        <w:spacing w:line="560" w:lineRule="exact"/>
        <w:ind w:firstLine="0" w:firstLineChars="0"/>
        <w:rPr>
          <w:rFonts w:hint="eastAsia" w:ascii="仿宋_GB2312" w:hAnsi="仿宋_GB2312" w:eastAsia="仿宋_GB2312" w:cs="仿宋_GB2312"/>
          <w:b/>
          <w:bCs/>
          <w:sz w:val="28"/>
          <w:szCs w:val="28"/>
          <w:lang w:val="zh-CN"/>
        </w:rPr>
      </w:pPr>
      <w:bookmarkStart w:id="689" w:name="_Toc22387"/>
      <w:bookmarkStart w:id="690" w:name="_Toc189"/>
      <w:r>
        <w:rPr>
          <w:rFonts w:hint="eastAsia" w:ascii="仿宋_GB2312" w:hAnsi="仿宋_GB2312" w:eastAsia="仿宋_GB2312" w:cs="仿宋_GB2312"/>
          <w:b/>
          <w:bCs/>
          <w:sz w:val="28"/>
          <w:szCs w:val="28"/>
          <w:lang w:val="zh-CN"/>
        </w:rPr>
        <w:t>强调：</w:t>
      </w:r>
    </w:p>
    <w:p>
      <w:pPr>
        <w:pStyle w:val="158"/>
        <w:spacing w:line="560" w:lineRule="exact"/>
        <w:ind w:firstLine="562"/>
        <w:rPr>
          <w:rFonts w:hint="eastAsia" w:ascii="宋体" w:hAnsi="宋体" w:eastAsia="宋体" w:cs="宋体"/>
          <w:b w:val="0"/>
          <w:bCs/>
          <w:sz w:val="28"/>
          <w:szCs w:val="28"/>
        </w:rPr>
      </w:pPr>
      <w:r>
        <w:rPr>
          <w:rFonts w:hint="eastAsia" w:ascii="宋体" w:hAnsi="宋体" w:eastAsia="宋体" w:cs="宋体"/>
          <w:b w:val="0"/>
          <w:bCs/>
          <w:sz w:val="28"/>
          <w:szCs w:val="28"/>
        </w:rPr>
        <w:t>1.报价人须提供与报价货物品牌、规格型号相一致的技术支持资料，并按本《报价文件》“第五部分/附件7”的格式要求制作“技术指标参数响应偏离表”。各种技术证明资料相互矛盾的，以“《医疗器械注册证》产品技术要求附件”为准，如“《医疗器械注册证》产品技术要求附件”不能证明的，以检验（检测）报告为准。</w:t>
      </w:r>
    </w:p>
    <w:p>
      <w:pPr>
        <w:pStyle w:val="158"/>
        <w:spacing w:line="560" w:lineRule="exact"/>
        <w:ind w:firstLine="562"/>
        <w:rPr>
          <w:rFonts w:hint="eastAsia" w:ascii="黑体" w:hAnsi="黑体" w:eastAsia="黑体" w:cs="黑体"/>
          <w:b w:val="0"/>
          <w:bCs/>
          <w:sz w:val="28"/>
          <w:szCs w:val="28"/>
        </w:rPr>
      </w:pPr>
      <w:r>
        <w:rPr>
          <w:rFonts w:hint="eastAsia" w:ascii="宋体" w:hAnsi="宋体" w:eastAsia="宋体" w:cs="宋体"/>
          <w:b w:val="0"/>
          <w:bCs/>
          <w:sz w:val="28"/>
          <w:szCs w:val="28"/>
        </w:rPr>
        <w:t>2.报价人技术参数响应情况将做入合同附件，技术支持材料真实性由报价人负责，如在履约过程中发现未按照响应的技术参数供货将依规严肃追究责任。</w:t>
      </w:r>
    </w:p>
    <w:p>
      <w:pPr>
        <w:pStyle w:val="5"/>
        <w:keepNext/>
        <w:keepLines/>
        <w:pageBreakBefore w:val="0"/>
        <w:widowControl w:val="0"/>
        <w:kinsoku/>
        <w:wordWrap/>
        <w:overflowPunct/>
        <w:topLinePunct w:val="0"/>
        <w:autoSpaceDE/>
        <w:autoSpaceDN/>
        <w:bidi w:val="0"/>
        <w:adjustRightInd/>
        <w:snapToGrid/>
        <w:spacing w:before="157" w:beforeLines="50" w:after="157" w:afterLines="50" w:line="560" w:lineRule="exact"/>
        <w:textAlignment w:val="auto"/>
        <w:rPr>
          <w:rFonts w:hint="eastAsia" w:ascii="黑体" w:hAnsi="黑体" w:eastAsia="黑体" w:cs="黑体"/>
          <w:b w:val="0"/>
          <w:bCs/>
          <w:sz w:val="28"/>
          <w:szCs w:val="28"/>
        </w:rPr>
      </w:pPr>
      <w:bookmarkStart w:id="691" w:name="_Toc7619"/>
      <w:bookmarkStart w:id="692" w:name="_Toc1592"/>
      <w:bookmarkStart w:id="693" w:name="_Toc5369"/>
      <w:bookmarkStart w:id="694" w:name="_Toc25612"/>
      <w:bookmarkStart w:id="695" w:name="_Toc19396"/>
      <w:r>
        <w:rPr>
          <w:rFonts w:hint="eastAsia" w:ascii="黑体" w:hAnsi="黑体" w:eastAsia="黑体" w:cs="黑体"/>
          <w:b w:val="0"/>
          <w:bCs/>
          <w:sz w:val="28"/>
          <w:szCs w:val="28"/>
          <w:lang w:val="en-US" w:eastAsia="zh-CN"/>
        </w:rPr>
        <w:t>三</w:t>
      </w:r>
      <w:r>
        <w:rPr>
          <w:rFonts w:hint="eastAsia" w:ascii="黑体" w:hAnsi="黑体" w:eastAsia="黑体" w:cs="黑体"/>
          <w:b w:val="0"/>
          <w:bCs/>
          <w:sz w:val="28"/>
          <w:szCs w:val="28"/>
        </w:rPr>
        <w:t>、商务要求</w:t>
      </w:r>
      <w:bookmarkEnd w:id="689"/>
      <w:bookmarkEnd w:id="690"/>
      <w:bookmarkEnd w:id="691"/>
      <w:bookmarkEnd w:id="692"/>
      <w:bookmarkEnd w:id="693"/>
      <w:bookmarkEnd w:id="694"/>
      <w:bookmarkEnd w:id="695"/>
    </w:p>
    <w:p>
      <w:pPr>
        <w:pStyle w:val="117"/>
        <w:pageBreakBefore w:val="0"/>
        <w:widowControl w:val="0"/>
        <w:kinsoku/>
        <w:overflowPunct/>
        <w:topLinePunct w:val="0"/>
        <w:bidi w:val="0"/>
        <w:spacing w:line="560" w:lineRule="exact"/>
        <w:ind w:left="11" w:firstLine="560" w:firstLineChars="200"/>
        <w:jc w:val="both"/>
        <w:rPr>
          <w:rFonts w:hint="eastAsia" w:ascii="宋体" w:hAnsi="宋体" w:eastAsia="宋体" w:cs="宋体"/>
          <w:sz w:val="28"/>
          <w:szCs w:val="28"/>
          <w:lang w:eastAsia="zh-CN"/>
        </w:rPr>
      </w:pPr>
      <w:r>
        <w:rPr>
          <w:rFonts w:hint="eastAsia" w:ascii="宋体" w:hAnsi="宋体" w:eastAsia="宋体" w:cs="宋体"/>
          <w:sz w:val="28"/>
          <w:szCs w:val="28"/>
          <w:lang w:val="zh-CN" w:eastAsia="zh-CN"/>
        </w:rPr>
        <w:t>★（一）</w:t>
      </w:r>
      <w:r>
        <w:rPr>
          <w:rFonts w:hint="eastAsia" w:ascii="宋体" w:hAnsi="宋体" w:eastAsia="宋体" w:cs="宋体"/>
          <w:sz w:val="28"/>
          <w:szCs w:val="28"/>
          <w:lang w:eastAsia="zh-CN"/>
        </w:rPr>
        <w:t>交货时间、地点与方式</w:t>
      </w:r>
    </w:p>
    <w:p>
      <w:pPr>
        <w:pStyle w:val="117"/>
        <w:pageBreakBefore w:val="0"/>
        <w:kinsoku/>
        <w:overflowPunct/>
        <w:topLinePunct w:val="0"/>
        <w:bidi w:val="0"/>
        <w:spacing w:line="560" w:lineRule="exact"/>
        <w:ind w:left="11"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1.交货地点：</w:t>
      </w:r>
      <w:r>
        <w:rPr>
          <w:rFonts w:hint="eastAsia" w:ascii="宋体" w:hAnsi="宋体" w:eastAsia="宋体" w:cs="宋体"/>
          <w:sz w:val="28"/>
          <w:szCs w:val="28"/>
          <w:u w:val="single"/>
          <w:lang w:eastAsia="zh-CN"/>
        </w:rPr>
        <w:t xml:space="preserve">  </w:t>
      </w:r>
      <w:r>
        <w:rPr>
          <w:rFonts w:hint="eastAsia" w:ascii="宋体" w:hAnsi="宋体" w:cs="宋体"/>
          <w:sz w:val="28"/>
          <w:szCs w:val="28"/>
          <w:u w:val="single"/>
          <w:lang w:eastAsia="zh-CN"/>
        </w:rPr>
        <w:t>重庆市沙坪坝</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w:t>
      </w:r>
    </w:p>
    <w:p>
      <w:pPr>
        <w:pStyle w:val="117"/>
        <w:pageBreakBefore w:val="0"/>
        <w:kinsoku/>
        <w:overflowPunct/>
        <w:topLinePunct w:val="0"/>
        <w:bidi w:val="0"/>
        <w:spacing w:line="560" w:lineRule="exact"/>
        <w:ind w:left="11"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2.交货期：合同签订之日起 </w:t>
      </w:r>
      <w:r>
        <w:rPr>
          <w:rFonts w:hint="eastAsia" w:ascii="宋体" w:hAnsi="宋体" w:eastAsia="宋体" w:cs="宋体"/>
          <w:sz w:val="28"/>
          <w:szCs w:val="28"/>
          <w:u w:val="single"/>
          <w:lang w:eastAsia="zh-CN"/>
        </w:rPr>
        <w:t xml:space="preserve"> </w:t>
      </w:r>
      <w:r>
        <w:rPr>
          <w:rFonts w:hint="eastAsia" w:ascii="宋体" w:hAnsi="宋体" w:cs="宋体"/>
          <w:sz w:val="28"/>
          <w:szCs w:val="28"/>
          <w:u w:val="single"/>
          <w:lang w:val="en-US" w:eastAsia="zh-CN"/>
        </w:rPr>
        <w:t>90</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天内。</w:t>
      </w:r>
    </w:p>
    <w:p>
      <w:pPr>
        <w:pStyle w:val="117"/>
        <w:pageBreakBefore w:val="0"/>
        <w:kinsoku/>
        <w:overflowPunct/>
        <w:topLinePunct w:val="0"/>
        <w:bidi w:val="0"/>
        <w:spacing w:line="560" w:lineRule="exact"/>
        <w:ind w:left="11"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3.交货方式：</w:t>
      </w:r>
      <w:r>
        <w:rPr>
          <w:rFonts w:hint="eastAsia" w:ascii="宋体" w:hAnsi="宋体" w:eastAsia="宋体" w:cs="宋体"/>
          <w:sz w:val="28"/>
          <w:szCs w:val="28"/>
          <w:lang w:val="zh-CN" w:eastAsia="zh-CN"/>
        </w:rPr>
        <w:t>报价人自行送达采购人指定的地点并完成</w:t>
      </w:r>
      <w:r>
        <w:rPr>
          <w:rFonts w:hint="eastAsia" w:ascii="宋体" w:hAnsi="宋体" w:eastAsia="宋体" w:cs="宋体"/>
          <w:sz w:val="28"/>
          <w:szCs w:val="28"/>
          <w:lang w:eastAsia="zh-CN"/>
        </w:rPr>
        <w:t>全部交货和安装调试</w:t>
      </w:r>
      <w:r>
        <w:rPr>
          <w:rFonts w:hint="eastAsia" w:ascii="宋体" w:hAnsi="宋体" w:eastAsia="宋体" w:cs="宋体"/>
          <w:sz w:val="28"/>
          <w:szCs w:val="28"/>
          <w:lang w:val="zh-CN" w:eastAsia="zh-CN"/>
        </w:rPr>
        <w:t>。</w:t>
      </w:r>
    </w:p>
    <w:p>
      <w:pPr>
        <w:pStyle w:val="117"/>
        <w:pageBreakBefore w:val="0"/>
        <w:widowControl w:val="0"/>
        <w:kinsoku/>
        <w:overflowPunct/>
        <w:topLinePunct w:val="0"/>
        <w:bidi w:val="0"/>
        <w:spacing w:line="560" w:lineRule="exact"/>
        <w:ind w:left="11" w:firstLine="560" w:firstLineChars="200"/>
        <w:jc w:val="both"/>
        <w:rPr>
          <w:rFonts w:hint="eastAsia" w:ascii="宋体" w:hAnsi="宋体" w:eastAsia="宋体" w:cs="宋体"/>
          <w:sz w:val="28"/>
          <w:szCs w:val="28"/>
          <w:lang w:eastAsia="zh-CN"/>
        </w:rPr>
      </w:pPr>
      <w:r>
        <w:rPr>
          <w:rFonts w:hint="eastAsia" w:ascii="宋体" w:hAnsi="宋体" w:eastAsia="宋体" w:cs="宋体"/>
          <w:sz w:val="28"/>
          <w:szCs w:val="28"/>
          <w:lang w:val="zh-CN" w:eastAsia="zh-CN"/>
        </w:rPr>
        <w:t>★（二）</w:t>
      </w:r>
      <w:r>
        <w:rPr>
          <w:rFonts w:hint="eastAsia" w:ascii="宋体" w:hAnsi="宋体" w:eastAsia="宋体" w:cs="宋体"/>
          <w:sz w:val="28"/>
          <w:szCs w:val="28"/>
          <w:lang w:eastAsia="zh-CN"/>
        </w:rPr>
        <w:t>售后服务</w:t>
      </w:r>
    </w:p>
    <w:p>
      <w:pPr>
        <w:pageBreakBefore w:val="0"/>
        <w:numPr>
          <w:ilvl w:val="0"/>
          <w:numId w:val="0"/>
        </w:numPr>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整机免费保修期：自交货验收完毕之日算起至少</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3</w:t>
      </w:r>
      <w:r>
        <w:rPr>
          <w:rFonts w:hint="eastAsia" w:ascii="宋体" w:hAnsi="宋体" w:eastAsia="宋体" w:cs="宋体"/>
          <w:sz w:val="28"/>
          <w:szCs w:val="28"/>
          <w:u w:val="single"/>
        </w:rPr>
        <w:t xml:space="preserve">  </w:t>
      </w:r>
      <w:r>
        <w:rPr>
          <w:rFonts w:hint="eastAsia" w:ascii="宋体" w:hAnsi="宋体" w:eastAsia="宋体" w:cs="宋体"/>
          <w:sz w:val="28"/>
          <w:szCs w:val="28"/>
        </w:rPr>
        <w:t>年。免费保修期内，除消耗品和人为损坏外，</w:t>
      </w:r>
      <w:r>
        <w:rPr>
          <w:rFonts w:hint="eastAsia" w:ascii="宋体" w:hAnsi="宋体" w:eastAsia="宋体" w:cs="宋体"/>
          <w:sz w:val="28"/>
          <w:szCs w:val="28"/>
          <w:lang w:eastAsia="zh-CN"/>
        </w:rPr>
        <w:t>必须免费提供包修、包换、包退服务</w:t>
      </w:r>
      <w:r>
        <w:rPr>
          <w:rFonts w:hint="eastAsia" w:ascii="宋体" w:hAnsi="宋体" w:eastAsia="宋体" w:cs="宋体"/>
          <w:sz w:val="28"/>
          <w:szCs w:val="28"/>
        </w:rPr>
        <w:t>。因此导致的损失采购单位有权向</w:t>
      </w:r>
      <w:r>
        <w:rPr>
          <w:rFonts w:hint="eastAsia" w:ascii="宋体" w:hAnsi="宋体" w:eastAsia="宋体" w:cs="宋体"/>
          <w:sz w:val="28"/>
          <w:szCs w:val="28"/>
          <w:lang w:eastAsia="zh-CN"/>
        </w:rPr>
        <w:t>成交</w:t>
      </w:r>
      <w:r>
        <w:rPr>
          <w:rFonts w:hint="eastAsia" w:ascii="宋体" w:hAnsi="宋体" w:eastAsia="宋体" w:cs="宋体"/>
          <w:sz w:val="28"/>
          <w:szCs w:val="28"/>
        </w:rPr>
        <w:t>供应商追偿。</w:t>
      </w:r>
    </w:p>
    <w:p>
      <w:pPr>
        <w:tabs>
          <w:tab w:val="left" w:pos="0"/>
        </w:tabs>
        <w:autoSpaceDE w:val="0"/>
        <w:autoSpaceDN w:val="0"/>
        <w:adjustRightInd w:val="0"/>
        <w:spacing w:line="560" w:lineRule="exact"/>
        <w:ind w:firstLine="560" w:firstLineChars="200"/>
        <w:rPr>
          <w:rFonts w:hint="eastAsia" w:ascii="宋体" w:hAnsi="宋体" w:eastAsia="宋体" w:cs="宋体"/>
          <w:kern w:val="0"/>
          <w:sz w:val="28"/>
          <w:szCs w:val="28"/>
          <w:u w:val="none"/>
          <w:lang w:val="en-US" w:eastAsia="zh-CN" w:bidi="ar-SA"/>
        </w:rPr>
      </w:pPr>
      <w:r>
        <w:rPr>
          <w:rFonts w:hint="eastAsia" w:ascii="宋体" w:hAnsi="宋体" w:eastAsia="宋体" w:cs="宋体"/>
          <w:kern w:val="0"/>
          <w:sz w:val="28"/>
          <w:szCs w:val="28"/>
          <w:lang w:val="en-US" w:eastAsia="zh-CN" w:bidi="ar-SA"/>
        </w:rPr>
        <w:t>2.免费保修期外，提供终身维修保障等技术服务保障承诺（因产品或配件停产等导致设备无法维修的原因除外）。提供耗材及主要零配件目录（含报价），配件供应时间≥</w:t>
      </w:r>
      <w:r>
        <w:rPr>
          <w:rFonts w:hint="eastAsia" w:ascii="宋体" w:hAnsi="宋体" w:eastAsia="宋体" w:cs="宋体"/>
          <w:kern w:val="0"/>
          <w:sz w:val="28"/>
          <w:szCs w:val="28"/>
          <w:u w:val="none"/>
          <w:lang w:val="en-US" w:eastAsia="zh-CN" w:bidi="ar-SA"/>
        </w:rPr>
        <w:t xml:space="preserve">  </w:t>
      </w:r>
      <w:r>
        <w:rPr>
          <w:rFonts w:hint="eastAsia" w:ascii="宋体" w:hAnsi="宋体" w:cs="宋体"/>
          <w:kern w:val="0"/>
          <w:sz w:val="28"/>
          <w:szCs w:val="28"/>
          <w:u w:val="none"/>
          <w:lang w:val="en-US" w:eastAsia="zh-CN" w:bidi="ar-SA"/>
        </w:rPr>
        <w:t>10</w:t>
      </w:r>
      <w:r>
        <w:rPr>
          <w:rFonts w:hint="eastAsia" w:ascii="宋体" w:hAnsi="宋体" w:eastAsia="宋体" w:cs="宋体"/>
          <w:kern w:val="0"/>
          <w:sz w:val="28"/>
          <w:szCs w:val="28"/>
          <w:u w:val="none"/>
          <w:lang w:val="en-US" w:eastAsia="zh-CN" w:bidi="ar-SA"/>
        </w:rPr>
        <w:t xml:space="preserve">  </w:t>
      </w:r>
      <w:r>
        <w:rPr>
          <w:rFonts w:hint="eastAsia" w:ascii="宋体" w:hAnsi="宋体" w:eastAsia="宋体" w:cs="宋体"/>
          <w:kern w:val="0"/>
          <w:sz w:val="28"/>
          <w:szCs w:val="28"/>
          <w:lang w:val="en-US" w:eastAsia="zh-CN" w:bidi="ar-SA"/>
        </w:rPr>
        <w:t>年。</w:t>
      </w:r>
    </w:p>
    <w:p>
      <w:pPr>
        <w:keepNext w:val="0"/>
        <w:keepLines w:val="0"/>
        <w:pageBreakBefore w:val="0"/>
        <w:kinsoku/>
        <w:wordWrap/>
        <w:overflowPunct/>
        <w:topLinePunct w:val="0"/>
        <w:bidi w:val="0"/>
        <w:snapToGrid w:val="0"/>
        <w:spacing w:line="560" w:lineRule="exact"/>
        <w:ind w:firstLine="560" w:firstLineChars="200"/>
        <w:textAlignment w:val="auto"/>
        <w:rPr>
          <w:rFonts w:hint="eastAsia" w:ascii="宋体" w:hAnsi="宋体" w:eastAsia="宋体" w:cs="宋体"/>
          <w:color w:val="auto"/>
          <w:sz w:val="28"/>
          <w:szCs w:val="28"/>
          <w:u w:val="single"/>
          <w:lang w:val="zh-CN"/>
        </w:rPr>
      </w:pPr>
      <w:r>
        <w:rPr>
          <w:rFonts w:hint="eastAsia" w:ascii="宋体" w:hAnsi="宋体" w:eastAsia="宋体" w:cs="宋体"/>
          <w:sz w:val="28"/>
          <w:szCs w:val="28"/>
        </w:rPr>
        <w:t>3.</w:t>
      </w:r>
      <w:r>
        <w:rPr>
          <w:rFonts w:hint="eastAsia" w:ascii="宋体" w:hAnsi="宋体" w:eastAsia="宋体" w:cs="宋体"/>
          <w:sz w:val="28"/>
          <w:szCs w:val="28"/>
          <w:lang w:val="zh-CN"/>
        </w:rPr>
        <w:t>报价供应商</w:t>
      </w:r>
      <w:r>
        <w:rPr>
          <w:rFonts w:hint="eastAsia" w:ascii="宋体" w:hAnsi="宋体" w:eastAsia="宋体" w:cs="宋体"/>
          <w:color w:val="auto"/>
          <w:sz w:val="28"/>
          <w:szCs w:val="28"/>
          <w:lang w:val="zh-CN"/>
        </w:rPr>
        <w:t>须承诺，对售后服务需求提供现场技术响应，维修到达现场时间≤</w:t>
      </w:r>
      <w:r>
        <w:rPr>
          <w:rFonts w:hint="eastAsia" w:ascii="宋体" w:hAnsi="宋体" w:eastAsia="宋体" w:cs="宋体"/>
          <w:color w:val="auto"/>
          <w:sz w:val="28"/>
          <w:szCs w:val="28"/>
          <w:lang w:val="en-US" w:eastAsia="zh-CN"/>
        </w:rPr>
        <w:t>__</w:t>
      </w:r>
      <w:r>
        <w:rPr>
          <w:rFonts w:hint="eastAsia" w:ascii="宋体" w:hAnsi="宋体" w:cs="宋体"/>
          <w:color w:val="auto"/>
          <w:sz w:val="28"/>
          <w:szCs w:val="28"/>
          <w:lang w:val="en-US" w:eastAsia="zh-CN"/>
        </w:rPr>
        <w:t>6</w:t>
      </w:r>
      <w:r>
        <w:rPr>
          <w:rFonts w:hint="eastAsia" w:ascii="宋体" w:hAnsi="宋体" w:eastAsia="宋体" w:cs="宋体"/>
          <w:color w:val="auto"/>
          <w:sz w:val="28"/>
          <w:szCs w:val="28"/>
          <w:lang w:val="en-US" w:eastAsia="zh-CN"/>
        </w:rPr>
        <w:t>__</w:t>
      </w:r>
      <w:r>
        <w:rPr>
          <w:rFonts w:hint="eastAsia" w:ascii="宋体" w:hAnsi="宋体" w:eastAsia="宋体" w:cs="宋体"/>
          <w:color w:val="auto"/>
          <w:sz w:val="28"/>
          <w:szCs w:val="28"/>
          <w:lang w:val="zh-CN"/>
        </w:rPr>
        <w:t>小时（本地）；维修到达现场时间≤</w:t>
      </w:r>
      <w:r>
        <w:rPr>
          <w:rFonts w:hint="eastAsia" w:ascii="宋体" w:hAnsi="宋体" w:eastAsia="宋体" w:cs="宋体"/>
          <w:color w:val="auto"/>
          <w:sz w:val="28"/>
          <w:szCs w:val="28"/>
          <w:lang w:val="en-US" w:eastAsia="zh-CN"/>
        </w:rPr>
        <w:t>__</w:t>
      </w:r>
      <w:r>
        <w:rPr>
          <w:rFonts w:hint="eastAsia" w:ascii="宋体" w:hAnsi="宋体" w:cs="宋体"/>
          <w:color w:val="auto"/>
          <w:sz w:val="28"/>
          <w:szCs w:val="28"/>
          <w:lang w:val="en-US" w:eastAsia="zh-CN"/>
        </w:rPr>
        <w:t>24</w:t>
      </w:r>
      <w:r>
        <w:rPr>
          <w:rFonts w:hint="eastAsia" w:ascii="宋体" w:hAnsi="宋体" w:eastAsia="宋体" w:cs="宋体"/>
          <w:color w:val="auto"/>
          <w:sz w:val="28"/>
          <w:szCs w:val="28"/>
          <w:lang w:val="en-US" w:eastAsia="zh-CN"/>
        </w:rPr>
        <w:t>__</w:t>
      </w:r>
      <w:r>
        <w:rPr>
          <w:rFonts w:hint="eastAsia" w:ascii="宋体" w:hAnsi="宋体" w:eastAsia="宋体" w:cs="宋体"/>
          <w:color w:val="auto"/>
          <w:sz w:val="28"/>
          <w:szCs w:val="28"/>
          <w:lang w:val="zh-CN"/>
        </w:rPr>
        <w:t>小时（外地）内到达现场实施维修。</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.软件升级：终身免费升级</w:t>
      </w:r>
      <w:r>
        <w:rPr>
          <w:rFonts w:hint="eastAsia" w:ascii="宋体" w:hAnsi="宋体" w:eastAsia="宋体" w:cs="宋体"/>
          <w:color w:val="auto"/>
          <w:sz w:val="28"/>
          <w:szCs w:val="28"/>
          <w:lang w:eastAsia="zh-CN"/>
        </w:rPr>
        <w:t>（</w:t>
      </w:r>
      <w:r>
        <w:rPr>
          <w:rFonts w:hint="eastAsia" w:ascii="宋体" w:hAnsi="宋体" w:eastAsia="宋体" w:cs="宋体"/>
          <w:sz w:val="28"/>
          <w:szCs w:val="28"/>
          <w:lang w:eastAsia="zh-CN"/>
        </w:rPr>
        <w:t>如本设备涉及软件功能）</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.凡涉及与我院HIS、LIS、PACS、电生理系统、病理信息系统等系统连接的设备，要求具有标准数字接口，若</w:t>
      </w:r>
      <w:r>
        <w:rPr>
          <w:rFonts w:hint="eastAsia" w:ascii="宋体" w:hAnsi="宋体" w:cs="宋体"/>
          <w:sz w:val="28"/>
          <w:szCs w:val="28"/>
          <w:lang w:eastAsia="zh-CN"/>
        </w:rPr>
        <w:t>报价</w:t>
      </w:r>
      <w:r>
        <w:rPr>
          <w:rFonts w:hint="eastAsia" w:ascii="宋体" w:hAnsi="宋体" w:eastAsia="宋体" w:cs="宋体"/>
          <w:sz w:val="28"/>
          <w:szCs w:val="28"/>
        </w:rPr>
        <w:t>产品没有匹配的接口，由</w:t>
      </w:r>
      <w:r>
        <w:rPr>
          <w:rFonts w:hint="eastAsia" w:ascii="宋体" w:hAnsi="宋体" w:eastAsia="宋体" w:cs="宋体"/>
          <w:sz w:val="28"/>
          <w:szCs w:val="28"/>
          <w:lang w:eastAsia="zh-CN"/>
        </w:rPr>
        <w:t>成交</w:t>
      </w:r>
      <w:r>
        <w:rPr>
          <w:rFonts w:hint="eastAsia" w:ascii="宋体" w:hAnsi="宋体" w:eastAsia="宋体" w:cs="宋体"/>
          <w:sz w:val="28"/>
          <w:szCs w:val="28"/>
        </w:rPr>
        <w:t>供应商负责改造并承担相应费用</w:t>
      </w:r>
      <w:r>
        <w:rPr>
          <w:rFonts w:hint="eastAsia" w:ascii="宋体" w:hAnsi="宋体" w:eastAsia="宋体" w:cs="宋体"/>
          <w:sz w:val="28"/>
          <w:szCs w:val="28"/>
          <w:lang w:eastAsia="zh-CN"/>
        </w:rPr>
        <w:t>（如涉及）</w:t>
      </w:r>
      <w:r>
        <w:rPr>
          <w:rFonts w:hint="eastAsia" w:ascii="宋体" w:hAnsi="宋体" w:eastAsia="宋体" w:cs="宋体"/>
          <w:sz w:val="28"/>
          <w:szCs w:val="28"/>
        </w:rPr>
        <w:t>。</w:t>
      </w:r>
    </w:p>
    <w:p>
      <w:pPr>
        <w:pStyle w:val="16"/>
        <w:pageBreakBefore w:val="0"/>
        <w:kinsoku/>
        <w:overflowPunct/>
        <w:topLinePunct w:val="0"/>
        <w:bidi w:val="0"/>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6.安装、培训及验收：</w:t>
      </w:r>
    </w:p>
    <w:p>
      <w:pPr>
        <w:pStyle w:val="16"/>
        <w:pageBreakBefore w:val="0"/>
        <w:kinsoku/>
        <w:overflowPunct/>
        <w:topLinePunct w:val="0"/>
        <w:bidi w:val="0"/>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安装、培训：供应商免费送货上门，免费安装培训。按合同规定的时间内发货到甲方指定地点，并完成安装、调试与技术培训，交付甲方验收。免费提供视频培训或现场培训，内容包括仪器的基本原理、操作应用及仪器的维护保养知识，直到用户能正常使用和维护仪器。</w:t>
      </w:r>
    </w:p>
    <w:p>
      <w:pPr>
        <w:pStyle w:val="16"/>
        <w:pageBreakBefore w:val="0"/>
        <w:kinsoku/>
        <w:overflowPunct/>
        <w:topLinePunct w:val="0"/>
        <w:bidi w:val="0"/>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（2）产品质量检验验收：</w:t>
      </w:r>
    </w:p>
    <w:p>
      <w:pPr>
        <w:pStyle w:val="16"/>
        <w:pageBreakBefore w:val="0"/>
        <w:kinsoku/>
        <w:overflowPunct/>
        <w:topLinePunct w:val="0"/>
        <w:bidi w:val="0"/>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①产品出厂前，成交供应商应当进行产品自检，验收合格后方可出厂。</w:t>
      </w:r>
    </w:p>
    <w:p>
      <w:pPr>
        <w:pStyle w:val="16"/>
        <w:pageBreakBefore w:val="0"/>
        <w:kinsoku/>
        <w:overflowPunct/>
        <w:topLinePunct w:val="0"/>
        <w:bidi w:val="0"/>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②产品出厂验收不合格，合同甲方有权拒收货物和解除采购合同，由此造成的损失，由成交供应商承担。出厂验收过程中，成交供应商可有1次整改机会，若第一次检验未通过，合同甲方将书面通知成交供应商限期整改，整改后进行第二次检验，检验合格后方可出厂。若第二次检验仍未通过的，合同甲方有权取消或解除采购合同，由此造成的损失，由成交供应商承担。</w:t>
      </w:r>
    </w:p>
    <w:p>
      <w:pPr>
        <w:pStyle w:val="16"/>
        <w:pageBreakBefore w:val="0"/>
        <w:kinsoku/>
        <w:overflowPunct/>
        <w:topLinePunct w:val="0"/>
        <w:bidi w:val="0"/>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③货物到达现场后，成交供应商应及时通知采购人，向项目使用方申请验收；验收小组由采购人按规定组建。</w:t>
      </w:r>
    </w:p>
    <w:p>
      <w:pPr>
        <w:pStyle w:val="16"/>
        <w:pageBreakBefore w:val="0"/>
        <w:kinsoku/>
        <w:overflowPunct/>
        <w:topLinePunct w:val="0"/>
        <w:bidi w:val="0"/>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④成交供应商应提供包括但不限于产品说明书、维护手册、维修手册、软件光盘、故障代码表、备件清单、零部件、维修密码等在内的材料和信息。</w:t>
      </w:r>
    </w:p>
    <w:p>
      <w:pPr>
        <w:pStyle w:val="16"/>
        <w:pageBreakBefore w:val="0"/>
        <w:kinsoku/>
        <w:overflowPunct/>
        <w:topLinePunct w:val="0"/>
        <w:bidi w:val="0"/>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⑤验收标准按国际标准或国家标准或经双方协商认可的标准、合同要求及技术协议执行。</w:t>
      </w:r>
    </w:p>
    <w:p>
      <w:pPr>
        <w:pStyle w:val="16"/>
        <w:pageBreakBefore w:val="0"/>
        <w:kinsoku/>
        <w:overflowPunct/>
        <w:topLinePunct w:val="0"/>
        <w:bidi w:val="0"/>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⑥验收合格后，由验收小组和成交供应商在验收报告上共同签字确认。验收不合格的，合同甲方不得办理价款支付手续，并有权取消采购合同，由此造成的损失，由成交供应商承担。</w:t>
      </w:r>
    </w:p>
    <w:p>
      <w:pPr>
        <w:pStyle w:val="16"/>
        <w:pageBreakBefore w:val="0"/>
        <w:kinsoku/>
        <w:overflowPunct/>
        <w:topLinePunct w:val="0"/>
        <w:bidi w:val="0"/>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⑦使用方在产品使用过程中，发现产品性能指标未达到要求的，成交供应商按照需求方明确的整改期限（不超过1个月），可有1次整改机会，在规定期限内未整改完毕的，由此造成的损失，由成交供应商承担。</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7. 包装和运输：成交人负责设备的包装和运输。包装必须坚固，能适用远距离的海运、空运及气候的变化，并能适应中国境内铁路、公路运输。</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8.若此次采购设备需配套使用耗材（试剂），耗材（试剂）需要一并进行报价，纳入计算经济分（如涉及）。</w:t>
      </w:r>
    </w:p>
    <w:p>
      <w:pPr>
        <w:tabs>
          <w:tab w:val="left" w:pos="0"/>
        </w:tabs>
        <w:autoSpaceDE w:val="0"/>
        <w:autoSpaceDN w:val="0"/>
        <w:adjustRightInd w:val="0"/>
        <w:spacing w:line="560" w:lineRule="exact"/>
        <w:ind w:firstLine="560"/>
        <w:rPr>
          <w:rFonts w:hint="eastAsia" w:ascii="宋体" w:hAnsi="宋体"/>
          <w:b w:val="0"/>
          <w:bCs/>
          <w:sz w:val="28"/>
          <w:szCs w:val="28"/>
          <w:lang w:val="zh-CN"/>
        </w:rPr>
      </w:pPr>
      <w:r>
        <w:rPr>
          <w:rFonts w:hint="eastAsia" w:ascii="宋体" w:hAnsi="宋体"/>
          <w:b w:val="0"/>
          <w:bCs/>
          <w:sz w:val="28"/>
          <w:szCs w:val="28"/>
          <w:lang w:val="zh-CN"/>
        </w:rPr>
        <w:t>9.若成交供应商在成交后将本次采购设备所需配套使用耗材（试剂）在采购单位驻地药交所平台挂网，且本次报价不高于挂网价。否则不予签订设备采购合同（如涉及）。</w:t>
      </w:r>
    </w:p>
    <w:p>
      <w:pPr>
        <w:tabs>
          <w:tab w:val="left" w:pos="0"/>
        </w:tabs>
        <w:autoSpaceDE w:val="0"/>
        <w:autoSpaceDN w:val="0"/>
        <w:adjustRightInd w:val="0"/>
        <w:spacing w:line="560" w:lineRule="exact"/>
        <w:ind w:firstLine="560"/>
        <w:rPr>
          <w:rFonts w:ascii="宋体" w:hAnsi="宋体"/>
          <w:b w:val="0"/>
          <w:bCs/>
          <w:sz w:val="28"/>
          <w:szCs w:val="28"/>
          <w:lang w:val="zh-CN"/>
        </w:rPr>
      </w:pPr>
      <w:r>
        <w:rPr>
          <w:rFonts w:hint="eastAsia" w:ascii="宋体" w:hAnsi="宋体"/>
          <w:b w:val="0"/>
          <w:bCs/>
          <w:sz w:val="28"/>
          <w:szCs w:val="28"/>
          <w:lang w:val="zh-CN"/>
        </w:rPr>
        <w:t>10.本次报价中未提供产品授权委托书（国产产品），为保证售后服务质量，成交人须在合同签订前提供生产厂家对所投产品的授权委托书，如无法提供则做废标处理,经核查发现违规问题，将按照相关规定进行处罚（书面承诺）。</w:t>
      </w:r>
    </w:p>
    <w:p>
      <w:pPr>
        <w:pStyle w:val="117"/>
        <w:spacing w:line="560" w:lineRule="exact"/>
        <w:ind w:left="11" w:firstLine="560"/>
        <w:rPr>
          <w:b w:val="0"/>
          <w:bCs/>
          <w:sz w:val="28"/>
          <w:szCs w:val="28"/>
        </w:rPr>
      </w:pPr>
      <w:r>
        <w:rPr>
          <w:rFonts w:ascii="宋体" w:hAnsi="宋体"/>
          <w:b w:val="0"/>
          <w:bCs/>
          <w:sz w:val="28"/>
          <w:szCs w:val="28"/>
          <w:lang w:val="zh-CN"/>
        </w:rPr>
        <w:t>★</w:t>
      </w:r>
      <w:r>
        <w:rPr>
          <w:rFonts w:hAnsi="宋体"/>
          <w:b w:val="0"/>
          <w:bCs/>
          <w:sz w:val="28"/>
          <w:szCs w:val="28"/>
          <w:lang w:val="zh-CN"/>
        </w:rPr>
        <w:t>（</w:t>
      </w:r>
      <w:r>
        <w:rPr>
          <w:rFonts w:hint="eastAsia" w:hAnsi="宋体"/>
          <w:b w:val="0"/>
          <w:bCs/>
          <w:sz w:val="28"/>
          <w:szCs w:val="28"/>
        </w:rPr>
        <w:t>四</w:t>
      </w:r>
      <w:r>
        <w:rPr>
          <w:rFonts w:hAnsi="宋体"/>
          <w:b w:val="0"/>
          <w:bCs/>
          <w:sz w:val="28"/>
          <w:szCs w:val="28"/>
          <w:lang w:val="zh-CN"/>
        </w:rPr>
        <w:t>）</w:t>
      </w:r>
      <w:r>
        <w:rPr>
          <w:rFonts w:hint="eastAsia" w:hAnsi="宋体"/>
          <w:b w:val="0"/>
          <w:bCs/>
          <w:sz w:val="28"/>
          <w:szCs w:val="28"/>
        </w:rPr>
        <w:t>知识产权</w:t>
      </w:r>
      <w:r>
        <w:rPr>
          <w:rFonts w:hAnsi="宋体"/>
          <w:b w:val="0"/>
          <w:bCs/>
          <w:sz w:val="28"/>
          <w:szCs w:val="28"/>
        </w:rPr>
        <w:t>和保密要求</w:t>
      </w:r>
    </w:p>
    <w:p>
      <w:pPr>
        <w:pStyle w:val="117"/>
        <w:spacing w:line="560" w:lineRule="exact"/>
        <w:ind w:firstLine="560"/>
        <w:rPr>
          <w:b w:val="0"/>
          <w:bCs/>
          <w:sz w:val="28"/>
          <w:szCs w:val="28"/>
          <w:lang w:val="zh-CN"/>
        </w:rPr>
      </w:pPr>
      <w:r>
        <w:rPr>
          <w:rFonts w:hint="eastAsia"/>
          <w:b w:val="0"/>
          <w:bCs/>
          <w:kern w:val="0"/>
          <w:sz w:val="28"/>
          <w:szCs w:val="28"/>
          <w:lang w:val="zh-CN"/>
        </w:rPr>
        <w:t>报价供应商应当保证使用方在使用该货物或其任何一部分时，不受第三方侵权指控。同时，报价供应商不得向第三方泄露采购机构提供的技术文件等资料。</w:t>
      </w:r>
    </w:p>
    <w:p>
      <w:pPr>
        <w:pStyle w:val="117"/>
        <w:spacing w:line="560" w:lineRule="exact"/>
        <w:ind w:firstLine="560"/>
        <w:rPr>
          <w:b w:val="0"/>
          <w:bCs/>
          <w:sz w:val="28"/>
          <w:szCs w:val="28"/>
          <w:lang w:val="zh-CN"/>
        </w:rPr>
      </w:pPr>
      <w:r>
        <w:rPr>
          <w:rFonts w:hint="eastAsia"/>
          <w:b w:val="0"/>
          <w:bCs/>
          <w:kern w:val="0"/>
          <w:sz w:val="28"/>
          <w:szCs w:val="28"/>
          <w:lang w:val="zh-CN"/>
        </w:rPr>
        <w:t>基于项目合同履行形成的知识产权和其他权益，其权属归需求单位所有，法律另有规定的除外。</w:t>
      </w:r>
    </w:p>
    <w:p>
      <w:pPr>
        <w:pStyle w:val="117"/>
        <w:spacing w:line="560" w:lineRule="exact"/>
        <w:ind w:firstLine="560"/>
        <w:rPr>
          <w:b w:val="0"/>
          <w:bCs/>
          <w:sz w:val="28"/>
          <w:szCs w:val="28"/>
          <w:lang w:val="zh-CN"/>
        </w:rPr>
      </w:pPr>
      <w:r>
        <w:rPr>
          <w:rFonts w:hint="eastAsia" w:ascii="宋体" w:hAnsi="宋体"/>
          <w:b w:val="0"/>
          <w:bCs/>
          <w:sz w:val="28"/>
          <w:szCs w:val="28"/>
          <w:lang w:val="zh-CN"/>
        </w:rPr>
        <w:t>★</w:t>
      </w:r>
      <w:r>
        <w:rPr>
          <w:rFonts w:hAnsi="宋体"/>
          <w:b w:val="0"/>
          <w:bCs/>
          <w:sz w:val="28"/>
          <w:szCs w:val="28"/>
          <w:lang w:val="zh-CN"/>
        </w:rPr>
        <w:t>（</w:t>
      </w:r>
      <w:r>
        <w:rPr>
          <w:rFonts w:hint="eastAsia" w:hAnsi="宋体"/>
          <w:b w:val="0"/>
          <w:bCs/>
          <w:sz w:val="28"/>
          <w:szCs w:val="28"/>
        </w:rPr>
        <w:t>五</w:t>
      </w:r>
      <w:r>
        <w:rPr>
          <w:rFonts w:hAnsi="宋体"/>
          <w:b w:val="0"/>
          <w:bCs/>
          <w:sz w:val="28"/>
          <w:szCs w:val="28"/>
          <w:lang w:val="zh-CN"/>
        </w:rPr>
        <w:t>）</w:t>
      </w:r>
      <w:r>
        <w:rPr>
          <w:rFonts w:hint="eastAsia" w:hAnsi="宋体"/>
          <w:b w:val="0"/>
          <w:bCs/>
          <w:sz w:val="28"/>
          <w:szCs w:val="28"/>
        </w:rPr>
        <w:t>物资编目赋码</w:t>
      </w:r>
      <w:r>
        <w:rPr>
          <w:rFonts w:hAnsi="宋体"/>
          <w:b w:val="0"/>
          <w:bCs/>
          <w:sz w:val="28"/>
          <w:szCs w:val="28"/>
        </w:rPr>
        <w:t>要求</w:t>
      </w:r>
    </w:p>
    <w:p>
      <w:pPr>
        <w:pStyle w:val="117"/>
        <w:spacing w:line="560" w:lineRule="atLeast"/>
        <w:ind w:firstLine="560"/>
        <w:rPr>
          <w:rFonts w:ascii="宋体" w:hAnsi="宋体"/>
          <w:b w:val="0"/>
          <w:bCs/>
          <w:sz w:val="28"/>
          <w:szCs w:val="28"/>
          <w:lang w:val="zh-CN"/>
        </w:rPr>
      </w:pPr>
      <w:r>
        <w:rPr>
          <w:rFonts w:hint="eastAsia" w:ascii="宋体" w:hAnsi="宋体"/>
          <w:b w:val="0"/>
          <w:bCs/>
          <w:sz w:val="28"/>
          <w:szCs w:val="28"/>
          <w:lang w:val="zh-CN"/>
        </w:rPr>
        <w:t>本项目所有物资均有物资编目赋码要求，报价供应商应当予以明确响应。</w:t>
      </w:r>
    </w:p>
    <w:p>
      <w:pPr>
        <w:pStyle w:val="117"/>
        <w:spacing w:line="560" w:lineRule="atLeast"/>
        <w:ind w:firstLine="560"/>
        <w:rPr>
          <w:rFonts w:ascii="宋体" w:hAnsi="宋体"/>
          <w:b w:val="0"/>
          <w:bCs/>
          <w:sz w:val="28"/>
          <w:szCs w:val="28"/>
          <w:lang w:val="zh-CN"/>
        </w:rPr>
      </w:pPr>
      <w:r>
        <w:rPr>
          <w:rFonts w:hint="eastAsia" w:ascii="宋体" w:hAnsi="宋体"/>
          <w:b w:val="0"/>
          <w:bCs/>
          <w:sz w:val="28"/>
          <w:szCs w:val="28"/>
          <w:lang w:val="zh-CN"/>
        </w:rPr>
        <w:t>★（</w:t>
      </w:r>
      <w:r>
        <w:rPr>
          <w:rFonts w:hint="eastAsia" w:ascii="宋体" w:hAnsi="宋体"/>
          <w:b w:val="0"/>
          <w:bCs/>
          <w:sz w:val="28"/>
          <w:szCs w:val="28"/>
        </w:rPr>
        <w:t>六</w:t>
      </w:r>
      <w:r>
        <w:rPr>
          <w:rFonts w:hint="eastAsia" w:ascii="宋体" w:hAnsi="宋体"/>
          <w:b w:val="0"/>
          <w:bCs/>
          <w:sz w:val="28"/>
          <w:szCs w:val="28"/>
          <w:lang w:val="zh-CN"/>
        </w:rPr>
        <w:t>）付款及结算方式</w:t>
      </w:r>
    </w:p>
    <w:p>
      <w:pPr>
        <w:spacing w:line="560" w:lineRule="atLeast"/>
        <w:ind w:firstLine="560" w:firstLineChars="200"/>
        <w:rPr>
          <w:rFonts w:ascii="宋体" w:hAnsi="宋体"/>
          <w:b w:val="0"/>
          <w:bCs/>
          <w:i/>
          <w:sz w:val="28"/>
          <w:szCs w:val="28"/>
        </w:rPr>
      </w:pPr>
      <w:r>
        <w:rPr>
          <w:rFonts w:hint="eastAsia" w:ascii="宋体" w:hAnsi="宋体"/>
          <w:b w:val="0"/>
          <w:bCs/>
          <w:sz w:val="28"/>
          <w:szCs w:val="28"/>
          <w:lang w:val="zh-CN"/>
        </w:rPr>
        <w:t>本项目不预付货款，</w:t>
      </w:r>
      <w:r>
        <w:rPr>
          <w:rFonts w:hint="eastAsia"/>
          <w:b w:val="0"/>
          <w:bCs/>
          <w:sz w:val="28"/>
          <w:szCs w:val="28"/>
          <w:lang w:val="zh-CN"/>
        </w:rPr>
        <w:t>货物运达指定地点验收合格后，合同乙方收集发运接收单、发票、验收报告等资料，提交采购单位办理结算手续，采购单位在</w:t>
      </w:r>
      <w:r>
        <w:rPr>
          <w:b w:val="0"/>
          <w:bCs/>
          <w:sz w:val="28"/>
          <w:szCs w:val="28"/>
          <w:lang w:val="zh-CN"/>
        </w:rPr>
        <w:t>30</w:t>
      </w:r>
      <w:r>
        <w:rPr>
          <w:rFonts w:hint="eastAsia"/>
          <w:b w:val="0"/>
          <w:bCs/>
          <w:sz w:val="28"/>
          <w:szCs w:val="28"/>
          <w:lang w:val="zh-CN"/>
        </w:rPr>
        <w:t>天内向乙方支付货款。</w:t>
      </w:r>
    </w:p>
    <w:p>
      <w:pPr>
        <w:keepNext w:val="0"/>
        <w:keepLines w:val="0"/>
        <w:pageBreakBefore w:val="0"/>
        <w:tabs>
          <w:tab w:val="left" w:pos="0"/>
        </w:tabs>
        <w:kinsoku/>
        <w:wordWrap/>
        <w:overflowPunct/>
        <w:topLinePunct w:val="0"/>
        <w:autoSpaceDE w:val="0"/>
        <w:autoSpaceDN w:val="0"/>
        <w:bidi w:val="0"/>
        <w:adjustRightInd w:val="0"/>
        <w:spacing w:line="560" w:lineRule="exact"/>
        <w:ind w:firstLine="560"/>
        <w:textAlignment w:val="auto"/>
        <w:rPr>
          <w:rFonts w:ascii="宋体" w:hAnsi="宋体"/>
          <w:b w:val="0"/>
          <w:bCs/>
          <w:snapToGrid w:val="0"/>
          <w:sz w:val="28"/>
          <w:szCs w:val="28"/>
        </w:rPr>
      </w:pPr>
      <w:r>
        <w:rPr>
          <w:rFonts w:ascii="宋体" w:hAnsi="宋体"/>
          <w:b w:val="0"/>
          <w:bCs/>
          <w:sz w:val="28"/>
          <w:szCs w:val="28"/>
          <w:lang w:val="zh-CN"/>
        </w:rPr>
        <w:t>★</w:t>
      </w:r>
      <w:r>
        <w:rPr>
          <w:rFonts w:hint="eastAsia" w:ascii="宋体" w:hAnsi="宋体"/>
          <w:b w:val="0"/>
          <w:bCs/>
          <w:snapToGrid w:val="0"/>
          <w:sz w:val="28"/>
          <w:szCs w:val="28"/>
        </w:rPr>
        <w:t>（七）履约保证金和质量保证金</w:t>
      </w:r>
    </w:p>
    <w:p>
      <w:pPr>
        <w:keepNext w:val="0"/>
        <w:keepLines w:val="0"/>
        <w:pageBreakBefore w:val="0"/>
        <w:kinsoku/>
        <w:wordWrap/>
        <w:overflowPunct/>
        <w:topLinePunct w:val="0"/>
        <w:bidi w:val="0"/>
        <w:snapToGrid w:val="0"/>
        <w:spacing w:line="560" w:lineRule="exact"/>
        <w:ind w:firstLine="560" w:firstLineChars="200"/>
        <w:textAlignment w:val="auto"/>
        <w:rPr>
          <w:rFonts w:ascii="宋体" w:hAnsi="宋体"/>
          <w:b w:val="0"/>
          <w:bCs/>
          <w:snapToGrid w:val="0"/>
          <w:sz w:val="28"/>
          <w:szCs w:val="28"/>
        </w:rPr>
      </w:pPr>
      <w:r>
        <w:rPr>
          <w:rFonts w:hint="eastAsia" w:ascii="宋体" w:hAnsi="宋体"/>
          <w:b w:val="0"/>
          <w:bCs/>
          <w:snapToGrid w:val="0"/>
          <w:sz w:val="28"/>
          <w:szCs w:val="28"/>
          <w:lang w:val="en-US" w:eastAsia="zh-CN"/>
        </w:rPr>
        <w:t>本项目不收取履约保证金。</w:t>
      </w:r>
      <w:r>
        <w:rPr>
          <w:rFonts w:hint="eastAsia" w:ascii="宋体" w:hAnsi="宋体"/>
          <w:b w:val="0"/>
          <w:bCs/>
          <w:snapToGrid w:val="0"/>
          <w:sz w:val="28"/>
          <w:szCs w:val="28"/>
        </w:rPr>
        <w:t>合同履行货物验收合格后，</w:t>
      </w:r>
      <w:r>
        <w:rPr>
          <w:rFonts w:hint="eastAsia" w:ascii="宋体" w:hAnsi="宋体" w:eastAsia="宋体" w:cs="宋体"/>
          <w:sz w:val="28"/>
          <w:szCs w:val="28"/>
          <w:lang w:val="zh-CN" w:eastAsia="zh-CN"/>
        </w:rPr>
        <w:t>预留质量保证金为合同总金额的5%</w:t>
      </w:r>
      <w:r>
        <w:rPr>
          <w:rFonts w:hint="eastAsia" w:ascii="宋体" w:hAnsi="宋体"/>
          <w:b w:val="0"/>
          <w:bCs/>
          <w:snapToGrid w:val="0"/>
          <w:sz w:val="28"/>
          <w:szCs w:val="28"/>
        </w:rPr>
        <w:t>，</w:t>
      </w:r>
      <w:r>
        <w:rPr>
          <w:rFonts w:hint="eastAsia" w:ascii="宋体" w:hAnsi="宋体" w:eastAsia="宋体" w:cs="宋体"/>
          <w:sz w:val="28"/>
          <w:szCs w:val="28"/>
          <w:lang w:val="zh-CN" w:eastAsia="zh-CN"/>
        </w:rPr>
        <w:t>乙方交付验收合格的货物正常运行满一年后</w:t>
      </w:r>
      <w:r>
        <w:rPr>
          <w:rFonts w:hint="eastAsia" w:ascii="宋体" w:hAnsi="宋体"/>
          <w:b w:val="0"/>
          <w:bCs/>
          <w:snapToGrid w:val="0"/>
          <w:sz w:val="28"/>
          <w:szCs w:val="28"/>
        </w:rPr>
        <w:t>全额无息退还</w:t>
      </w:r>
      <w:r>
        <w:rPr>
          <w:rFonts w:hint="eastAsia" w:ascii="宋体" w:hAnsi="宋体"/>
          <w:b w:val="0"/>
          <w:bCs/>
          <w:snapToGrid w:val="0"/>
          <w:sz w:val="28"/>
          <w:szCs w:val="28"/>
          <w:lang w:eastAsia="zh-CN"/>
        </w:rPr>
        <w:t>。</w:t>
      </w:r>
    </w:p>
    <w:p>
      <w:pPr>
        <w:pStyle w:val="117"/>
        <w:pageBreakBefore w:val="0"/>
        <w:kinsoku/>
        <w:overflowPunct/>
        <w:topLinePunct w:val="0"/>
        <w:bidi w:val="0"/>
        <w:spacing w:line="560" w:lineRule="exact"/>
        <w:ind w:left="0" w:firstLine="560" w:firstLineChars="200"/>
        <w:rPr>
          <w:rFonts w:hint="eastAsia" w:ascii="宋体" w:hAnsi="宋体" w:eastAsia="宋体" w:cs="宋体"/>
          <w:sz w:val="28"/>
          <w:szCs w:val="28"/>
          <w:highlight w:val="none"/>
          <w:lang w:val="zh-CN" w:eastAsia="zh-CN"/>
        </w:rPr>
      </w:pPr>
      <w:r>
        <w:rPr>
          <w:rFonts w:hint="eastAsia" w:ascii="宋体" w:hAnsi="宋体" w:eastAsia="宋体" w:cs="宋体"/>
          <w:sz w:val="28"/>
          <w:szCs w:val="28"/>
          <w:highlight w:val="none"/>
          <w:lang w:val="zh-CN" w:eastAsia="zh-CN"/>
        </w:rPr>
        <w:t>★</w:t>
      </w:r>
      <w:r>
        <w:rPr>
          <w:rFonts w:hint="eastAsia" w:ascii="宋体" w:hAnsi="宋体" w:eastAsia="宋体"/>
          <w:b w:val="0"/>
          <w:bCs/>
          <w:snapToGrid w:val="0"/>
          <w:sz w:val="28"/>
          <w:szCs w:val="28"/>
          <w:lang w:eastAsia="zh-CN"/>
        </w:rPr>
        <w:t>（</w:t>
      </w:r>
      <w:r>
        <w:rPr>
          <w:rFonts w:hint="eastAsia" w:ascii="宋体" w:hAnsi="宋体" w:eastAsia="宋体"/>
          <w:b w:val="0"/>
          <w:bCs/>
          <w:snapToGrid w:val="0"/>
          <w:sz w:val="28"/>
          <w:szCs w:val="28"/>
          <w:lang w:val="en-US" w:eastAsia="zh-CN"/>
        </w:rPr>
        <w:t>八</w:t>
      </w:r>
      <w:r>
        <w:rPr>
          <w:rFonts w:hint="eastAsia" w:ascii="宋体" w:hAnsi="宋体" w:eastAsia="宋体"/>
          <w:b w:val="0"/>
          <w:bCs/>
          <w:snapToGrid w:val="0"/>
          <w:sz w:val="28"/>
          <w:szCs w:val="28"/>
          <w:lang w:eastAsia="zh-CN"/>
        </w:rPr>
        <w:t>）</w:t>
      </w:r>
      <w:r>
        <w:rPr>
          <w:rFonts w:hint="eastAsia" w:ascii="宋体" w:hAnsi="宋体" w:eastAsia="宋体" w:cs="宋体"/>
          <w:sz w:val="28"/>
          <w:szCs w:val="28"/>
          <w:highlight w:val="none"/>
          <w:lang w:val="zh-CN" w:eastAsia="zh-CN"/>
        </w:rPr>
        <w:t>价格复核要求</w:t>
      </w:r>
    </w:p>
    <w:p>
      <w:pPr>
        <w:pStyle w:val="117"/>
        <w:spacing w:line="560" w:lineRule="exact"/>
        <w:ind w:left="0" w:firstLine="560" w:firstLineChars="200"/>
        <w:rPr>
          <w:rFonts w:hint="eastAsia" w:ascii="宋体" w:hAnsi="宋体" w:eastAsia="宋体" w:cs="宋体"/>
          <w:sz w:val="28"/>
          <w:szCs w:val="28"/>
          <w:highlight w:val="none"/>
          <w:lang w:val="zh-CN" w:eastAsia="zh-CN"/>
        </w:rPr>
      </w:pPr>
      <w:r>
        <w:rPr>
          <w:rFonts w:hint="eastAsia" w:ascii="宋体" w:hAnsi="宋体" w:eastAsia="宋体" w:cs="宋体"/>
          <w:sz w:val="28"/>
          <w:szCs w:val="28"/>
          <w:highlight w:val="none"/>
          <w:lang w:val="en-US" w:eastAsia="zh-CN"/>
        </w:rPr>
        <w:t>1.</w:t>
      </w:r>
      <w:r>
        <w:rPr>
          <w:rFonts w:hint="eastAsia" w:ascii="宋体" w:hAnsi="宋体" w:eastAsia="宋体" w:cs="宋体"/>
          <w:sz w:val="28"/>
          <w:szCs w:val="28"/>
          <w:highlight w:val="none"/>
          <w:lang w:val="zh-CN" w:eastAsia="zh-CN"/>
        </w:rPr>
        <w:t>本项目成交价格需经价格复核，最终成交价格以复核结果为准。价格复核过程中，如需提供有关证明材料，报价供应商应在收到通知之日起，3个工作日内提供真实、完整、有效的支撑材料。超过时限仍未提供的，采购人有权作废标处理，同时对其进行处罚；如报价供应商提供虚假材料，一经查实，采购人一律视作虚假</w:t>
      </w:r>
      <w:r>
        <w:rPr>
          <w:rFonts w:hint="eastAsia" w:ascii="宋体" w:hAnsi="宋体" w:cs="宋体"/>
          <w:sz w:val="28"/>
          <w:szCs w:val="28"/>
          <w:highlight w:val="none"/>
          <w:lang w:val="zh-CN" w:eastAsia="zh-CN"/>
        </w:rPr>
        <w:t>报价</w:t>
      </w:r>
      <w:r>
        <w:rPr>
          <w:rFonts w:hint="eastAsia" w:ascii="宋体" w:hAnsi="宋体" w:eastAsia="宋体" w:cs="宋体"/>
          <w:sz w:val="28"/>
          <w:szCs w:val="28"/>
          <w:highlight w:val="none"/>
          <w:lang w:val="zh-CN" w:eastAsia="zh-CN"/>
        </w:rPr>
        <w:t>进行处理。</w:t>
      </w:r>
    </w:p>
    <w:p>
      <w:pPr>
        <w:pStyle w:val="117"/>
        <w:spacing w:line="560" w:lineRule="exact"/>
        <w:ind w:left="0" w:firstLine="560" w:firstLineChars="200"/>
        <w:rPr>
          <w:rFonts w:hint="eastAsia" w:ascii="宋体" w:hAnsi="宋体" w:eastAsia="宋体" w:cs="宋体"/>
          <w:sz w:val="28"/>
          <w:szCs w:val="28"/>
          <w:lang w:val="zh-CN" w:eastAsia="zh-CN"/>
        </w:rPr>
      </w:pPr>
      <w:r>
        <w:rPr>
          <w:rFonts w:hint="eastAsia" w:ascii="宋体" w:hAnsi="宋体" w:eastAsia="宋体" w:cs="宋体"/>
          <w:sz w:val="28"/>
          <w:szCs w:val="28"/>
          <w:highlight w:val="none"/>
          <w:lang w:val="en-US" w:eastAsia="zh-CN"/>
        </w:rPr>
        <w:t>2.</w:t>
      </w:r>
      <w:r>
        <w:rPr>
          <w:rFonts w:hint="eastAsia" w:ascii="宋体" w:hAnsi="宋体" w:eastAsia="宋体" w:cs="宋体"/>
          <w:sz w:val="28"/>
          <w:szCs w:val="28"/>
          <w:highlight w:val="none"/>
          <w:lang w:val="zh-CN" w:eastAsia="zh-CN"/>
        </w:rPr>
        <w:t>如成交产品为特殊定制类或国内市场无销售记录，采购人可根据项目情况，先签订采购合同，待验收合格后开展价格复核。</w:t>
      </w:r>
    </w:p>
    <w:p>
      <w:pPr>
        <w:keepNext w:val="0"/>
        <w:keepLines w:val="0"/>
        <w:widowControl/>
        <w:jc w:val="center"/>
        <w:outlineLvl w:val="1"/>
        <w:rPr>
          <w:rFonts w:hint="eastAsia" w:ascii="Arial" w:hAnsi="Arial" w:eastAsia="方正小标宋简体" w:cs="Times New Roman"/>
          <w:b w:val="0"/>
          <w:bCs/>
          <w:kern w:val="2"/>
          <w:sz w:val="44"/>
          <w:szCs w:val="44"/>
          <w:lang w:val="zh-CN" w:eastAsia="zh-CN" w:bidi="ar-SA"/>
        </w:rPr>
      </w:pPr>
      <w:r>
        <w:rPr>
          <w:rFonts w:ascii="宋体" w:hAnsi="宋体"/>
          <w:b w:val="0"/>
          <w:bCs/>
          <w:snapToGrid w:val="0"/>
          <w:sz w:val="28"/>
          <w:szCs w:val="28"/>
        </w:rPr>
        <w:br w:type="page"/>
      </w:r>
      <w:bookmarkStart w:id="696" w:name="_Toc29530"/>
      <w:bookmarkStart w:id="697" w:name="_Toc6065"/>
      <w:bookmarkStart w:id="698" w:name="_Toc1423"/>
      <w:bookmarkStart w:id="699" w:name="_Toc12881"/>
      <w:bookmarkStart w:id="700" w:name="_Toc15434"/>
      <w:bookmarkStart w:id="701" w:name="_Toc19000"/>
      <w:bookmarkStart w:id="702" w:name="_Toc3485"/>
      <w:r>
        <w:rPr>
          <w:rFonts w:hint="eastAsia" w:ascii="Arial" w:hAnsi="Arial" w:eastAsia="方正小标宋简体" w:cs="Times New Roman"/>
          <w:b w:val="0"/>
          <w:bCs/>
          <w:kern w:val="2"/>
          <w:sz w:val="44"/>
          <w:szCs w:val="44"/>
          <w:lang w:val="zh-CN" w:eastAsia="zh-CN" w:bidi="ar-SA"/>
        </w:rPr>
        <w:t>第六章 合同专用条款</w:t>
      </w:r>
      <w:bookmarkEnd w:id="696"/>
      <w:bookmarkEnd w:id="697"/>
      <w:bookmarkEnd w:id="698"/>
      <w:bookmarkEnd w:id="699"/>
      <w:bookmarkEnd w:id="700"/>
      <w:bookmarkEnd w:id="701"/>
      <w:bookmarkEnd w:id="702"/>
    </w:p>
    <w:p>
      <w:pPr>
        <w:spacing w:line="520" w:lineRule="exact"/>
        <w:jc w:val="left"/>
        <w:rPr>
          <w:rFonts w:ascii="仿宋_GB2312" w:eastAsia="仿宋_GB2312"/>
        </w:rPr>
      </w:pPr>
      <w:r>
        <w:rPr>
          <w:rFonts w:hint="eastAsia" w:ascii="黑体" w:eastAsia="黑体"/>
        </w:rPr>
        <w:t>合同编号：</w:t>
      </w:r>
    </w:p>
    <w:p>
      <w:pPr>
        <w:spacing w:line="520" w:lineRule="exact"/>
        <w:rPr>
          <w:rFonts w:ascii="黑体" w:eastAsia="黑体"/>
        </w:rPr>
      </w:pPr>
      <w:r>
        <w:rPr>
          <w:rFonts w:hint="eastAsia" w:ascii="黑体" w:eastAsia="黑体"/>
        </w:rPr>
        <w:t>项目名称：</w:t>
      </w:r>
      <w:r>
        <w:rPr>
          <w:rFonts w:hint="eastAsia" w:ascii="黑体" w:eastAsia="黑体"/>
          <w:u w:val="single"/>
        </w:rPr>
        <w:t xml:space="preserve">              </w:t>
      </w:r>
      <w:r>
        <w:t xml:space="preserve">              </w:t>
      </w:r>
      <w:r>
        <w:rPr>
          <w:rFonts w:hint="eastAsia" w:ascii="黑体" w:eastAsia="黑体"/>
        </w:rPr>
        <w:t>签订日期：</w:t>
      </w:r>
      <w:r>
        <w:rPr>
          <w:rFonts w:hint="eastAsia" w:ascii="黑体" w:eastAsia="黑体"/>
          <w:u w:val="single"/>
        </w:rPr>
        <w:t xml:space="preserve">   </w:t>
      </w:r>
      <w:r>
        <w:rPr>
          <w:rFonts w:hint="eastAsia" w:ascii="黑体" w:eastAsia="黑体"/>
        </w:rPr>
        <w:t>年</w:t>
      </w:r>
      <w:r>
        <w:rPr>
          <w:rFonts w:hint="eastAsia" w:ascii="黑体" w:eastAsia="黑体"/>
          <w:u w:val="single"/>
        </w:rPr>
        <w:t xml:space="preserve">  </w:t>
      </w:r>
      <w:r>
        <w:rPr>
          <w:rFonts w:hint="eastAsia" w:ascii="黑体" w:eastAsia="黑体"/>
        </w:rPr>
        <w:t>月</w:t>
      </w:r>
      <w:r>
        <w:rPr>
          <w:rFonts w:hint="eastAsia" w:ascii="黑体" w:eastAsia="黑体"/>
          <w:u w:val="single"/>
        </w:rPr>
        <w:t xml:space="preserve">  </w:t>
      </w:r>
      <w:r>
        <w:rPr>
          <w:rFonts w:hint="eastAsia" w:ascii="黑体" w:eastAsia="黑体"/>
        </w:rPr>
        <w:t>日</w:t>
      </w:r>
    </w:p>
    <w:p>
      <w:pPr>
        <w:spacing w:line="520" w:lineRule="exact"/>
      </w:pPr>
      <w:r>
        <w:rPr>
          <w:rFonts w:hint="eastAsia" w:ascii="黑体" w:eastAsia="黑体"/>
        </w:rPr>
        <w:t>项目编号：</w:t>
      </w:r>
      <w:r>
        <w:rPr>
          <w:rFonts w:hint="eastAsia" w:ascii="黑体" w:eastAsia="黑体"/>
          <w:u w:val="single"/>
        </w:rPr>
        <w:t xml:space="preserve">              </w:t>
      </w:r>
      <w:r>
        <w:rPr>
          <w:rFonts w:hint="eastAsia" w:ascii="黑体" w:eastAsia="黑体"/>
        </w:rPr>
        <w:t xml:space="preserve">              签订地点：</w:t>
      </w:r>
      <w:r>
        <w:rPr>
          <w:rFonts w:hint="eastAsia" w:ascii="黑体" w:eastAsia="黑体"/>
          <w:u w:val="single"/>
        </w:rPr>
        <w:t xml:space="preserve">              </w:t>
      </w:r>
    </w:p>
    <w:tbl>
      <w:tblPr>
        <w:tblStyle w:val="44"/>
        <w:tblW w:w="8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1954"/>
        <w:gridCol w:w="5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exact"/>
        </w:trPr>
        <w:tc>
          <w:tcPr>
            <w:tcW w:w="102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hint="eastAsia" w:ascii="宋体" w:hAnsi="宋体" w:cs="宋体"/>
              </w:rPr>
            </w:pPr>
            <w:r>
              <w:rPr>
                <w:rFonts w:hint="eastAsia" w:ascii="宋体" w:hAnsi="宋体" w:cs="宋体"/>
              </w:rPr>
              <w:t>采购</w:t>
            </w:r>
          </w:p>
          <w:p>
            <w:pPr>
              <w:widowControl/>
              <w:spacing w:line="520" w:lineRule="exact"/>
              <w:jc w:val="center"/>
              <w:rPr>
                <w:rFonts w:ascii="宋体" w:hAnsi="宋体" w:cs="宋体"/>
              </w:rPr>
            </w:pPr>
            <w:r>
              <w:rPr>
                <w:rFonts w:hint="eastAsia" w:ascii="宋体" w:hAnsi="宋体" w:cs="宋体"/>
              </w:rPr>
              <w:t>单位</w:t>
            </w:r>
          </w:p>
          <w:p>
            <w:pPr>
              <w:widowControl/>
              <w:spacing w:line="520" w:lineRule="exact"/>
              <w:jc w:val="center"/>
              <w:rPr>
                <w:rFonts w:ascii="宋体" w:hAnsi="宋体" w:cs="宋体"/>
              </w:rPr>
            </w:pPr>
            <w:r>
              <w:rPr>
                <w:rFonts w:hint="eastAsia" w:ascii="宋体" w:hAnsi="宋体" w:cs="宋体"/>
              </w:rPr>
              <w:t>（甲方）</w:t>
            </w: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r>
              <w:rPr>
                <w:rFonts w:hint="eastAsia" w:ascii="宋体" w:hAnsi="宋体" w:cs="宋体"/>
              </w:rPr>
              <w:t>单位名称</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hint="eastAsia" w:ascii="宋体" w:hAnsi="宋体" w:cs="宋体"/>
              </w:rPr>
            </w:pPr>
            <w:r>
              <w:rPr>
                <w:rFonts w:hint="eastAsia" w:ascii="宋体" w:hAnsi="宋体" w:cs="宋体"/>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exact"/>
        </w:trPr>
        <w:tc>
          <w:tcPr>
            <w:tcW w:w="1028" w:type="dxa"/>
            <w:vMerge w:val="continue"/>
            <w:tcBorders>
              <w:left w:val="single" w:color="auto" w:sz="4" w:space="0"/>
              <w:right w:val="single" w:color="auto" w:sz="4" w:space="0"/>
            </w:tcBorders>
            <w:noWrap w:val="0"/>
            <w:vAlign w:val="center"/>
          </w:tcPr>
          <w:p>
            <w:pPr>
              <w:widowControl/>
              <w:spacing w:line="520" w:lineRule="exact"/>
              <w:jc w:val="center"/>
              <w:rPr>
                <w:rFonts w:hint="eastAsia"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cs="宋体"/>
              </w:rPr>
            </w:pPr>
            <w:r>
              <w:rPr>
                <w:rFonts w:hint="eastAsia" w:ascii="宋体" w:hAnsi="宋体" w:cs="宋体"/>
              </w:rPr>
              <w:t>法定代表人（单位负责人）</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hint="eastAsia" w:ascii="宋体" w:hAnsi="宋体" w:cs="宋体"/>
              </w:rPr>
            </w:pPr>
            <w:r>
              <w:rPr>
                <w:rFonts w:hint="eastAsia" w:ascii="宋体" w:hAnsi="宋体" w:cs="宋体"/>
              </w:rPr>
              <w:t>签字或盖签名章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exact"/>
        </w:trPr>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承办（联系）人</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电话/传真</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单位地址/邮编</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trPr>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账户名称</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账    号</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开户银行</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trPr>
        <w:tc>
          <w:tcPr>
            <w:tcW w:w="1028" w:type="dxa"/>
            <w:vMerge w:val="restart"/>
            <w:tcBorders>
              <w:top w:val="single" w:color="auto" w:sz="4" w:space="0"/>
              <w:left w:val="single" w:color="auto" w:sz="4" w:space="0"/>
              <w:right w:val="single" w:color="auto" w:sz="4" w:space="0"/>
            </w:tcBorders>
            <w:noWrap w:val="0"/>
            <w:vAlign w:val="center"/>
          </w:tcPr>
          <w:p>
            <w:pPr>
              <w:widowControl/>
              <w:spacing w:line="520" w:lineRule="exact"/>
              <w:jc w:val="center"/>
              <w:rPr>
                <w:rFonts w:ascii="宋体" w:hAnsi="宋体" w:cs="宋体"/>
              </w:rPr>
            </w:pPr>
            <w:r>
              <w:rPr>
                <w:rFonts w:hint="eastAsia" w:ascii="宋体" w:hAnsi="宋体" w:cs="宋体"/>
              </w:rPr>
              <w:t>供应方</w:t>
            </w:r>
          </w:p>
          <w:p>
            <w:pPr>
              <w:widowControl/>
              <w:spacing w:line="520" w:lineRule="exact"/>
              <w:jc w:val="center"/>
              <w:rPr>
                <w:rFonts w:ascii="宋体" w:hAnsi="宋体" w:cs="宋体"/>
              </w:rPr>
            </w:pPr>
            <w:r>
              <w:rPr>
                <w:rFonts w:hint="eastAsia" w:ascii="宋体" w:hAnsi="宋体" w:cs="宋体"/>
              </w:rPr>
              <w:t>（乙方）</w:t>
            </w: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单位名称</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r>
              <w:rPr>
                <w:rFonts w:hint="eastAsia" w:ascii="宋体" w:hAnsi="宋体" w:cs="宋体"/>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trPr>
        <w:tc>
          <w:tcPr>
            <w:tcW w:w="1028" w:type="dxa"/>
            <w:vMerge w:val="continue"/>
            <w:tcBorders>
              <w:left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法定代表人</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r>
              <w:rPr>
                <w:rFonts w:hint="eastAsia" w:ascii="宋体" w:hAnsi="宋体" w:cs="宋体"/>
              </w:rPr>
              <w:t>签字或盖签名章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trPr>
        <w:tc>
          <w:tcPr>
            <w:tcW w:w="1028" w:type="dxa"/>
            <w:vMerge w:val="continue"/>
            <w:tcBorders>
              <w:left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委托代理人</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exact"/>
        </w:trPr>
        <w:tc>
          <w:tcPr>
            <w:tcW w:w="1028" w:type="dxa"/>
            <w:vMerge w:val="continue"/>
            <w:tcBorders>
              <w:left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电话/传真</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trPr>
        <w:tc>
          <w:tcPr>
            <w:tcW w:w="1028" w:type="dxa"/>
            <w:vMerge w:val="continue"/>
            <w:tcBorders>
              <w:left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单位地址/邮编</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28" w:type="dxa"/>
            <w:vMerge w:val="continue"/>
            <w:tcBorders>
              <w:left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账户名称</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28" w:type="dxa"/>
            <w:vMerge w:val="continue"/>
            <w:tcBorders>
              <w:left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开户银行</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exact"/>
        </w:trPr>
        <w:tc>
          <w:tcPr>
            <w:tcW w:w="1028" w:type="dxa"/>
            <w:vMerge w:val="continue"/>
            <w:tcBorders>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cs="宋体"/>
              </w:rPr>
            </w:pPr>
            <w:r>
              <w:rPr>
                <w:rFonts w:hint="eastAsia" w:ascii="宋体" w:hAnsi="宋体" w:cs="宋体"/>
              </w:rPr>
              <w:t>账    号</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textAlignment w:val="auto"/>
        <w:rPr>
          <w:rFonts w:hint="eastAsia" w:ascii="宋体" w:hAnsi="宋体" w:eastAsia="宋体" w:cs="宋体"/>
          <w:b w:val="0"/>
          <w:bCs/>
          <w:sz w:val="28"/>
          <w:szCs w:val="28"/>
        </w:rPr>
      </w:pPr>
    </w:p>
    <w:p>
      <w:pPr>
        <w:pStyle w:val="5"/>
        <w:keepNext/>
        <w:keepLines/>
        <w:pageBreakBefore w:val="0"/>
        <w:widowControl w:val="0"/>
        <w:kinsoku/>
        <w:wordWrap/>
        <w:overflowPunct/>
        <w:topLinePunct w:val="0"/>
        <w:autoSpaceDE/>
        <w:autoSpaceDN/>
        <w:bidi w:val="0"/>
        <w:adjustRightInd/>
        <w:snapToGrid/>
        <w:spacing w:before="157" w:beforeLines="50" w:after="157" w:afterLines="50" w:line="560" w:lineRule="exact"/>
        <w:textAlignment w:val="auto"/>
        <w:rPr>
          <w:rFonts w:hint="eastAsia" w:ascii="黑体" w:hAnsi="黑体" w:eastAsia="黑体" w:cs="黑体"/>
          <w:b w:val="0"/>
          <w:bCs/>
          <w:sz w:val="28"/>
          <w:szCs w:val="28"/>
        </w:rPr>
      </w:pPr>
      <w:bookmarkStart w:id="703" w:name="_Toc4689"/>
      <w:bookmarkStart w:id="704" w:name="_Toc3437"/>
      <w:bookmarkStart w:id="705" w:name="_Toc24245"/>
      <w:bookmarkStart w:id="706" w:name="_Toc26582"/>
      <w:bookmarkStart w:id="707" w:name="_Toc21749"/>
      <w:r>
        <w:rPr>
          <w:rFonts w:hint="eastAsia" w:ascii="黑体" w:hAnsi="黑体" w:eastAsia="黑体" w:cs="黑体"/>
          <w:b w:val="0"/>
          <w:bCs/>
          <w:sz w:val="28"/>
          <w:szCs w:val="28"/>
        </w:rPr>
        <w:t>一、定义</w:t>
      </w:r>
      <w:bookmarkEnd w:id="703"/>
      <w:bookmarkEnd w:id="704"/>
      <w:bookmarkEnd w:id="705"/>
    </w:p>
    <w:p>
      <w:pPr>
        <w:keepNext w:val="0"/>
        <w:keepLines w:val="0"/>
        <w:pageBreakBefore w:val="0"/>
        <w:widowControl w:val="0"/>
        <w:kinsoku/>
        <w:wordWrap/>
        <w:overflowPunct/>
        <w:topLinePunct w:val="0"/>
        <w:autoSpaceDE/>
        <w:autoSpaceDN/>
        <w:bidi w:val="0"/>
        <w:adjustRightInd/>
        <w:snapToGrid/>
        <w:spacing w:line="560" w:lineRule="exact"/>
        <w:ind w:firstLine="548" w:firstLineChars="196"/>
        <w:textAlignment w:val="auto"/>
        <w:rPr>
          <w:rFonts w:ascii="宋体" w:hAnsi="宋体" w:eastAsia="宋体"/>
          <w:b w:val="0"/>
          <w:bCs/>
          <w:sz w:val="28"/>
          <w:szCs w:val="28"/>
        </w:rPr>
      </w:pPr>
      <w:r>
        <w:rPr>
          <w:rFonts w:hint="eastAsia"/>
          <w:b w:val="0"/>
          <w:bCs/>
          <w:sz w:val="28"/>
          <w:szCs w:val="28"/>
        </w:rPr>
        <w:t>（一）</w:t>
      </w:r>
      <w:r>
        <w:rPr>
          <w:rFonts w:hint="eastAsia" w:ascii="宋体" w:hAnsi="宋体" w:eastAsia="宋体"/>
          <w:b w:val="0"/>
          <w:bCs/>
          <w:sz w:val="28"/>
          <w:szCs w:val="28"/>
        </w:rPr>
        <w:t>“合同”系指甲方和乙方（以下简称双方）已达成的协议，即由双方签订的合同格式中的文件，包括所有的附件、附录和组成合同部分的所有其他文件。</w:t>
      </w:r>
    </w:p>
    <w:p>
      <w:pPr>
        <w:keepNext w:val="0"/>
        <w:keepLines w:val="0"/>
        <w:pageBreakBefore w:val="0"/>
        <w:widowControl w:val="0"/>
        <w:kinsoku/>
        <w:wordWrap/>
        <w:overflowPunct/>
        <w:topLinePunct w:val="0"/>
        <w:autoSpaceDE/>
        <w:autoSpaceDN/>
        <w:bidi w:val="0"/>
        <w:adjustRightInd/>
        <w:snapToGrid/>
        <w:spacing w:line="560" w:lineRule="exact"/>
        <w:ind w:firstLine="548" w:firstLineChars="196"/>
        <w:textAlignment w:val="auto"/>
        <w:rPr>
          <w:rFonts w:ascii="宋体" w:hAnsi="宋体" w:eastAsia="宋体"/>
          <w:b w:val="0"/>
          <w:bCs/>
          <w:sz w:val="28"/>
          <w:szCs w:val="28"/>
        </w:rPr>
      </w:pPr>
      <w:r>
        <w:rPr>
          <w:rFonts w:hint="eastAsia"/>
          <w:b w:val="0"/>
          <w:bCs/>
          <w:sz w:val="28"/>
          <w:szCs w:val="28"/>
        </w:rPr>
        <w:t>（二）</w:t>
      </w:r>
      <w:r>
        <w:rPr>
          <w:rFonts w:hint="eastAsia" w:ascii="宋体" w:hAnsi="宋体" w:eastAsia="宋体"/>
          <w:b w:val="0"/>
          <w:bCs/>
          <w:sz w:val="28"/>
          <w:szCs w:val="28"/>
        </w:rPr>
        <w:t>“合同价格”系指根据合同规定，在乙方全面正确地履行合同义务时支付给乙方的款项。</w:t>
      </w:r>
    </w:p>
    <w:p>
      <w:pPr>
        <w:keepNext w:val="0"/>
        <w:keepLines w:val="0"/>
        <w:pageBreakBefore w:val="0"/>
        <w:widowControl w:val="0"/>
        <w:kinsoku/>
        <w:wordWrap/>
        <w:overflowPunct/>
        <w:topLinePunct w:val="0"/>
        <w:autoSpaceDE/>
        <w:autoSpaceDN/>
        <w:bidi w:val="0"/>
        <w:adjustRightInd/>
        <w:snapToGrid/>
        <w:spacing w:line="560" w:lineRule="exact"/>
        <w:ind w:firstLine="548" w:firstLineChars="196"/>
        <w:textAlignment w:val="auto"/>
        <w:rPr>
          <w:rFonts w:ascii="宋体" w:hAnsi="宋体" w:eastAsia="宋体"/>
          <w:b w:val="0"/>
          <w:bCs/>
          <w:sz w:val="28"/>
          <w:szCs w:val="28"/>
        </w:rPr>
      </w:pPr>
      <w:r>
        <w:rPr>
          <w:rFonts w:hint="eastAsia"/>
          <w:b w:val="0"/>
          <w:bCs/>
          <w:sz w:val="28"/>
          <w:szCs w:val="28"/>
        </w:rPr>
        <w:t>（三）</w:t>
      </w:r>
      <w:r>
        <w:rPr>
          <w:rFonts w:hint="eastAsia" w:ascii="宋体" w:hAnsi="宋体" w:eastAsia="宋体"/>
          <w:b w:val="0"/>
          <w:bCs/>
          <w:sz w:val="28"/>
          <w:szCs w:val="28"/>
        </w:rPr>
        <w:t>“甲方”系指采购货物和相关服务的需求单位。</w:t>
      </w:r>
    </w:p>
    <w:p>
      <w:pPr>
        <w:keepNext w:val="0"/>
        <w:keepLines w:val="0"/>
        <w:pageBreakBefore w:val="0"/>
        <w:widowControl w:val="0"/>
        <w:kinsoku/>
        <w:wordWrap/>
        <w:overflowPunct/>
        <w:topLinePunct w:val="0"/>
        <w:autoSpaceDE/>
        <w:autoSpaceDN/>
        <w:bidi w:val="0"/>
        <w:adjustRightInd/>
        <w:snapToGrid/>
        <w:spacing w:line="560" w:lineRule="exact"/>
        <w:ind w:firstLine="548" w:firstLineChars="196"/>
        <w:textAlignment w:val="auto"/>
        <w:rPr>
          <w:rFonts w:hint="eastAsia" w:ascii="黑体" w:hAnsi="黑体" w:eastAsia="黑体" w:cs="黑体"/>
          <w:b w:val="0"/>
          <w:bCs/>
          <w:sz w:val="28"/>
          <w:szCs w:val="28"/>
        </w:rPr>
      </w:pPr>
      <w:r>
        <w:rPr>
          <w:rFonts w:hint="eastAsia"/>
          <w:b w:val="0"/>
          <w:bCs/>
          <w:sz w:val="28"/>
          <w:szCs w:val="28"/>
        </w:rPr>
        <w:t>（四）</w:t>
      </w:r>
      <w:r>
        <w:rPr>
          <w:rFonts w:hint="eastAsia" w:ascii="宋体" w:hAnsi="宋体" w:eastAsia="宋体"/>
          <w:b w:val="0"/>
          <w:bCs/>
          <w:sz w:val="28"/>
          <w:szCs w:val="28"/>
        </w:rPr>
        <w:t>“乙方”系指</w:t>
      </w:r>
      <w:r>
        <w:rPr>
          <w:rFonts w:hint="eastAsia" w:ascii="宋体" w:hAnsi="宋体" w:eastAsia="宋体"/>
          <w:b w:val="0"/>
          <w:bCs/>
          <w:sz w:val="28"/>
          <w:szCs w:val="28"/>
          <w:lang w:eastAsia="zh-CN"/>
        </w:rPr>
        <w:t>成交</w:t>
      </w:r>
      <w:r>
        <w:rPr>
          <w:rFonts w:hint="eastAsia" w:ascii="宋体" w:hAnsi="宋体" w:eastAsia="宋体"/>
          <w:b w:val="0"/>
          <w:bCs/>
          <w:sz w:val="28"/>
          <w:szCs w:val="28"/>
        </w:rPr>
        <w:t>后提供货物和相关服务的供应商。</w:t>
      </w:r>
    </w:p>
    <w:p>
      <w:pPr>
        <w:pStyle w:val="5"/>
        <w:keepNext/>
        <w:keepLines/>
        <w:pageBreakBefore w:val="0"/>
        <w:widowControl w:val="0"/>
        <w:kinsoku/>
        <w:wordWrap/>
        <w:overflowPunct/>
        <w:topLinePunct w:val="0"/>
        <w:autoSpaceDE/>
        <w:autoSpaceDN/>
        <w:bidi w:val="0"/>
        <w:adjustRightInd/>
        <w:snapToGrid/>
        <w:spacing w:before="157" w:beforeLines="50" w:after="157" w:afterLines="50" w:line="560" w:lineRule="exact"/>
        <w:textAlignment w:val="auto"/>
        <w:rPr>
          <w:rFonts w:hint="eastAsia" w:ascii="黑体" w:hAnsi="黑体" w:eastAsia="黑体" w:cs="黑体"/>
          <w:b w:val="0"/>
          <w:bCs/>
          <w:sz w:val="28"/>
          <w:szCs w:val="28"/>
        </w:rPr>
      </w:pPr>
      <w:bookmarkStart w:id="708" w:name="_Toc6744"/>
      <w:bookmarkStart w:id="709" w:name="_Toc21489"/>
      <w:bookmarkStart w:id="710" w:name="_Toc13644"/>
      <w:bookmarkStart w:id="711" w:name="_Toc24404"/>
      <w:r>
        <w:rPr>
          <w:rFonts w:hint="eastAsia" w:ascii="黑体" w:hAnsi="黑体" w:eastAsia="黑体" w:cs="黑体"/>
          <w:b w:val="0"/>
          <w:bCs/>
          <w:sz w:val="28"/>
          <w:szCs w:val="28"/>
        </w:rPr>
        <w:t>二、货物内容</w:t>
      </w:r>
      <w:bookmarkEnd w:id="706"/>
      <w:bookmarkEnd w:id="707"/>
      <w:bookmarkEnd w:id="708"/>
      <w:bookmarkEnd w:id="709"/>
      <w:bookmarkEnd w:id="710"/>
      <w:bookmarkEnd w:id="711"/>
    </w:p>
    <w:tbl>
      <w:tblPr>
        <w:tblStyle w:val="44"/>
        <w:tblW w:w="9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091"/>
        <w:gridCol w:w="677"/>
        <w:gridCol w:w="1101"/>
        <w:gridCol w:w="851"/>
        <w:gridCol w:w="1091"/>
        <w:gridCol w:w="677"/>
        <w:gridCol w:w="1025"/>
        <w:gridCol w:w="1211"/>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64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序号</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物资名称</w:t>
            </w:r>
          </w:p>
        </w:tc>
        <w:tc>
          <w:tcPr>
            <w:tcW w:w="67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品牌</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规格型号</w:t>
            </w:r>
          </w:p>
        </w:tc>
        <w:tc>
          <w:tcPr>
            <w:tcW w:w="85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编目码</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计量单位</w:t>
            </w:r>
          </w:p>
        </w:tc>
        <w:tc>
          <w:tcPr>
            <w:tcW w:w="67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数量</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单价（元）</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总价（元）</w:t>
            </w:r>
          </w:p>
        </w:tc>
        <w:tc>
          <w:tcPr>
            <w:tcW w:w="85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64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67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67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102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12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85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7155" w:type="dxa"/>
            <w:gridSpan w:val="8"/>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合  计</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both"/>
              <w:textAlignment w:val="auto"/>
              <w:rPr>
                <w:rFonts w:hint="eastAsia" w:ascii="宋体" w:hAnsi="宋体" w:eastAsia="宋体" w:cs="宋体"/>
                <w:b w:val="0"/>
                <w:bCs/>
                <w:spacing w:val="-4"/>
                <w:sz w:val="21"/>
                <w:szCs w:val="21"/>
              </w:rPr>
            </w:pPr>
          </w:p>
        </w:tc>
        <w:tc>
          <w:tcPr>
            <w:tcW w:w="85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9222" w:type="dxa"/>
            <w:gridSpan w:val="10"/>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金额合计（人民币大写）：</w:t>
            </w:r>
            <w:r>
              <w:rPr>
                <w:rFonts w:hint="eastAsia" w:ascii="宋体" w:hAnsi="宋体" w:eastAsia="宋体" w:cs="宋体"/>
                <w:b w:val="0"/>
                <w:bCs/>
                <w:sz w:val="21"/>
                <w:szCs w:val="21"/>
                <w:u w:val="single"/>
              </w:rPr>
              <w:t xml:space="preserve">                   </w:t>
            </w:r>
            <w:r>
              <w:rPr>
                <w:rFonts w:hint="eastAsia" w:ascii="宋体" w:hAnsi="宋体" w:eastAsia="宋体" w:cs="宋体"/>
                <w:b w:val="0"/>
                <w:bCs/>
                <w:spacing w:val="-4"/>
                <w:sz w:val="21"/>
                <w:szCs w:val="21"/>
              </w:rPr>
              <w:t>元</w:t>
            </w:r>
            <w:r>
              <w:rPr>
                <w:rFonts w:hint="eastAsia" w:ascii="宋体" w:hAnsi="宋体" w:eastAsia="宋体" w:cs="宋体"/>
                <w:b w:val="0"/>
                <w:bCs/>
                <w:sz w:val="21"/>
                <w:szCs w:val="21"/>
              </w:rPr>
              <w:t xml:space="preserve">      （小写）：</w:t>
            </w:r>
            <w:r>
              <w:rPr>
                <w:rFonts w:hint="eastAsia" w:ascii="宋体" w:hAnsi="宋体" w:eastAsia="宋体" w:cs="宋体"/>
                <w:b w:val="0"/>
                <w:bCs/>
                <w:sz w:val="21"/>
                <w:szCs w:val="21"/>
                <w:u w:val="single"/>
              </w:rPr>
              <w:t xml:space="preserve">                 </w:t>
            </w:r>
            <w:r>
              <w:rPr>
                <w:rFonts w:hint="eastAsia" w:ascii="宋体" w:hAnsi="宋体" w:eastAsia="宋体" w:cs="宋体"/>
                <w:b w:val="0"/>
                <w:bCs/>
                <w:sz w:val="21"/>
                <w:szCs w:val="21"/>
              </w:rPr>
              <w:t>¥</w:t>
            </w:r>
          </w:p>
        </w:tc>
      </w:tr>
    </w:tbl>
    <w:p>
      <w:pPr>
        <w:spacing w:line="520" w:lineRule="exact"/>
        <w:outlineLvl w:val="2"/>
        <w:rPr>
          <w:rFonts w:ascii="黑体" w:hAnsi="Times New Roman" w:eastAsia="黑体" w:cs="Times New Roman"/>
          <w:kern w:val="2"/>
          <w:sz w:val="28"/>
          <w:szCs w:val="28"/>
        </w:rPr>
      </w:pPr>
      <w:bookmarkStart w:id="712" w:name="_Toc8104"/>
      <w:bookmarkStart w:id="713" w:name="_Toc18838"/>
      <w:bookmarkStart w:id="714" w:name="_Toc7987"/>
      <w:bookmarkStart w:id="715" w:name="_Toc112317779"/>
      <w:bookmarkStart w:id="716" w:name="_Hlk112258830"/>
      <w:r>
        <w:rPr>
          <w:rFonts w:hint="eastAsia" w:ascii="黑体" w:eastAsia="黑体" w:cs="Times New Roman"/>
          <w:sz w:val="28"/>
          <w:szCs w:val="28"/>
          <w:lang w:val="en-US" w:eastAsia="zh-CN"/>
        </w:rPr>
        <w:t>三</w:t>
      </w:r>
      <w:r>
        <w:rPr>
          <w:rFonts w:hint="eastAsia" w:ascii="黑体" w:hAnsi="Times New Roman" w:eastAsia="黑体" w:cs="Times New Roman"/>
          <w:sz w:val="28"/>
          <w:szCs w:val="28"/>
        </w:rPr>
        <w:t>、质量要求及技术标准</w:t>
      </w:r>
      <w:bookmarkEnd w:id="712"/>
      <w:bookmarkEnd w:id="713"/>
      <w:bookmarkEnd w:id="714"/>
    </w:p>
    <w:p>
      <w:pPr>
        <w:spacing w:line="520" w:lineRule="exact"/>
        <w:rPr>
          <w:rFonts w:ascii="Times New Roman" w:hAnsi="Times New Roman" w:eastAsia="仿宋_GB2312" w:cs="Times New Roman"/>
          <w:sz w:val="28"/>
          <w:szCs w:val="28"/>
        </w:rPr>
      </w:pPr>
      <w:r>
        <w:rPr>
          <w:rFonts w:ascii="Times New Roman" w:hAnsi="Times New Roman" w:eastAsia="宋体" w:cs="Times New Roman"/>
        </w:rPr>
        <w:t xml:space="preserve"> </w:t>
      </w:r>
      <w:r>
        <w:rPr>
          <w:rFonts w:hint="eastAsia" w:cs="Times New Roman"/>
          <w:lang w:val="en-US" w:eastAsia="zh-CN"/>
        </w:rPr>
        <w:t xml:space="preserve">   </w:t>
      </w:r>
      <w:r>
        <w:rPr>
          <w:rFonts w:hint="eastAsia" w:ascii="Times New Roman" w:hAnsi="Times New Roman" w:eastAsia="宋体" w:cs="Times New Roman"/>
          <w:sz w:val="28"/>
          <w:szCs w:val="28"/>
        </w:rPr>
        <w:t>（一）乙方所供的货物必须是全新的，符合国军标的工艺材料制造，符合报价文件的承诺，符合合同规定的规格、技术指标及外观质量要求。</w:t>
      </w:r>
    </w:p>
    <w:p>
      <w:pPr>
        <w:spacing w:line="520" w:lineRule="exact"/>
        <w:rPr>
          <w:rFonts w:ascii="Times New Roman" w:hAnsi="Times New Roman" w:eastAsia="宋体" w:cs="Times New Roman"/>
          <w:sz w:val="28"/>
          <w:szCs w:val="28"/>
          <w:u w:val="single"/>
        </w:rPr>
      </w:pP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（二）质量或规格与合同不符，或证实货物有缺陷的，包括潜在的缺陷，甲方应在</w:t>
      </w:r>
      <w:r>
        <w:rPr>
          <w:rFonts w:hint="eastAsia"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u w:val="single"/>
          <w:lang w:val="en-US" w:eastAsia="zh-CN"/>
        </w:rPr>
        <w:t>3</w:t>
      </w:r>
      <w:r>
        <w:rPr>
          <w:rFonts w:hint="eastAsia" w:ascii="Times New Roman" w:hAnsi="Times New Roman" w:eastAsia="宋体" w:cs="Times New Roman"/>
          <w:sz w:val="28"/>
          <w:szCs w:val="28"/>
          <w:u w:val="single"/>
          <w:lang w:eastAsia="zh-CN"/>
        </w:rPr>
        <w:t>个工作</w:t>
      </w:r>
      <w:r>
        <w:rPr>
          <w:rFonts w:hint="eastAsia" w:ascii="Times New Roman" w:hAnsi="Times New Roman" w:eastAsia="宋体" w:cs="Times New Roman"/>
          <w:sz w:val="28"/>
          <w:szCs w:val="28"/>
        </w:rPr>
        <w:t>日内以书面形式通知乙方：</w:t>
      </w:r>
    </w:p>
    <w:p>
      <w:pPr>
        <w:spacing w:line="520" w:lineRule="exact"/>
        <w:rPr>
          <w:rFonts w:ascii="Times New Roman" w:hAnsi="Times New Roman" w:eastAsia="宋体" w:cs="Times New Roman"/>
          <w:sz w:val="28"/>
          <w:szCs w:val="28"/>
        </w:rPr>
      </w:pPr>
      <w:r>
        <w:rPr>
          <w:rFonts w:ascii="Times New Roman" w:hAnsi="Times New Roman" w:eastAsia="宋体" w:cs="Times New Roman"/>
          <w:sz w:val="28"/>
          <w:szCs w:val="28"/>
        </w:rPr>
        <w:t xml:space="preserve">    </w:t>
      </w:r>
      <w:r>
        <w:rPr>
          <w:rFonts w:hint="eastAsia" w:ascii="宋体" w:hAnsi="宋体" w:eastAsia="宋体" w:cs="宋体"/>
          <w:sz w:val="28"/>
          <w:szCs w:val="28"/>
        </w:rPr>
        <w:t>1.</w:t>
      </w:r>
      <w:r>
        <w:rPr>
          <w:rFonts w:hint="eastAsia" w:ascii="Times New Roman" w:hAnsi="Times New Roman" w:eastAsia="宋体" w:cs="Times New Roman"/>
          <w:sz w:val="28"/>
          <w:szCs w:val="28"/>
        </w:rPr>
        <w:t>乙方在收到通知后</w:t>
      </w:r>
      <w:r>
        <w:rPr>
          <w:rFonts w:hint="eastAsia"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u w:val="single"/>
          <w:lang w:val="en-US" w:eastAsia="zh-CN"/>
        </w:rPr>
        <w:t xml:space="preserve">   </w:t>
      </w:r>
      <w:r>
        <w:rPr>
          <w:rFonts w:hint="eastAsia" w:ascii="Times New Roman" w:hAnsi="Times New Roman" w:eastAsia="宋体" w:cs="Times New Roman"/>
          <w:sz w:val="28"/>
          <w:szCs w:val="28"/>
          <w:u w:val="single"/>
          <w:lang w:eastAsia="zh-CN"/>
        </w:rPr>
        <w:t>个工作</w:t>
      </w:r>
      <w:r>
        <w:rPr>
          <w:rFonts w:hint="eastAsia" w:ascii="Times New Roman" w:hAnsi="Times New Roman" w:eastAsia="宋体" w:cs="Times New Roman"/>
          <w:sz w:val="28"/>
          <w:szCs w:val="28"/>
        </w:rPr>
        <w:t>日内应免费更换有缺陷的货物。</w:t>
      </w:r>
    </w:p>
    <w:p>
      <w:pPr>
        <w:spacing w:line="520" w:lineRule="exact"/>
        <w:rPr>
          <w:rFonts w:ascii="Times New Roman" w:hAnsi="Times New Roman" w:eastAsia="宋体" w:cs="Times New Roman"/>
          <w:sz w:val="28"/>
          <w:szCs w:val="28"/>
        </w:rPr>
      </w:pPr>
      <w:r>
        <w:rPr>
          <w:rFonts w:ascii="Times New Roman" w:hAnsi="Times New Roman" w:eastAsia="宋体" w:cs="Times New Roman"/>
          <w:sz w:val="28"/>
          <w:szCs w:val="28"/>
        </w:rPr>
        <w:t xml:space="preserve">    </w:t>
      </w:r>
      <w:r>
        <w:rPr>
          <w:rFonts w:hint="eastAsia" w:ascii="宋体" w:hAnsi="宋体" w:eastAsia="宋体" w:cs="宋体"/>
          <w:sz w:val="28"/>
          <w:szCs w:val="28"/>
        </w:rPr>
        <w:t>2.</w:t>
      </w:r>
      <w:r>
        <w:rPr>
          <w:rFonts w:hint="eastAsia" w:ascii="Times New Roman" w:hAnsi="Times New Roman" w:eastAsia="宋体" w:cs="Times New Roman"/>
          <w:sz w:val="28"/>
          <w:szCs w:val="28"/>
        </w:rPr>
        <w:t>如果乙方在收到通知后</w:t>
      </w:r>
      <w:r>
        <w:rPr>
          <w:rFonts w:hint="eastAsia"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u w:val="single"/>
          <w:lang w:val="en-US" w:eastAsia="zh-CN"/>
        </w:rPr>
        <w:t xml:space="preserve">   个工作</w:t>
      </w:r>
      <w:r>
        <w:rPr>
          <w:rFonts w:hint="eastAsia" w:ascii="Times New Roman" w:hAnsi="Times New Roman" w:eastAsia="宋体" w:cs="Times New Roman"/>
          <w:sz w:val="28"/>
          <w:szCs w:val="28"/>
        </w:rPr>
        <w:t>日内没有弥补缺陷，甲方可采取必要的补救措施，但风险和费用将由乙方承担。</w:t>
      </w:r>
    </w:p>
    <w:p>
      <w:pPr>
        <w:spacing w:line="520" w:lineRule="exact"/>
        <w:outlineLvl w:val="2"/>
        <w:rPr>
          <w:rFonts w:hint="eastAsia" w:ascii="黑体" w:eastAsia="黑体" w:cs="Times New Roman"/>
          <w:sz w:val="28"/>
          <w:szCs w:val="28"/>
          <w:lang w:val="en-US" w:eastAsia="zh-CN"/>
        </w:rPr>
      </w:pPr>
      <w:bookmarkStart w:id="717" w:name="_Toc627"/>
      <w:bookmarkStart w:id="718" w:name="_Toc6891"/>
      <w:bookmarkStart w:id="719" w:name="_Toc29171"/>
      <w:r>
        <w:rPr>
          <w:rFonts w:hint="eastAsia" w:ascii="黑体" w:eastAsia="黑体" w:cs="Times New Roman"/>
          <w:sz w:val="28"/>
          <w:szCs w:val="28"/>
          <w:lang w:val="en-US" w:eastAsia="zh-CN"/>
        </w:rPr>
        <w:t>四、包装及技术资料</w:t>
      </w:r>
      <w:bookmarkEnd w:id="717"/>
      <w:bookmarkEnd w:id="718"/>
      <w:bookmarkEnd w:id="719"/>
    </w:p>
    <w:p>
      <w:pPr>
        <w:spacing w:line="520" w:lineRule="exact"/>
        <w:ind w:firstLine="540"/>
        <w:rPr>
          <w:rFonts w:ascii="Times New Roman" w:hAnsi="Times New Roman" w:eastAsia="仿宋_GB2312" w:cs="Times New Roman"/>
          <w:sz w:val="28"/>
          <w:szCs w:val="28"/>
        </w:rPr>
      </w:pPr>
      <w:r>
        <w:rPr>
          <w:rFonts w:hint="eastAsia" w:ascii="Times New Roman" w:hAnsi="Times New Roman" w:eastAsia="宋体" w:cs="Times New Roman"/>
          <w:sz w:val="28"/>
          <w:szCs w:val="28"/>
        </w:rPr>
        <w:t>（一）乙方提供的货物要采用国家或行业规定的标准进行包装，每件包装箱内附一份详细装箱清单和质量检验合格证，包装物由乙方免费提供。</w:t>
      </w:r>
    </w:p>
    <w:p>
      <w:pPr>
        <w:spacing w:line="520" w:lineRule="exact"/>
        <w:ind w:firstLine="54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（二）乙方提供的货物、技术资料，应有详细的说明，包括货物的规格、技术指标及外观质量情况等。</w:t>
      </w:r>
    </w:p>
    <w:p>
      <w:pPr>
        <w:spacing w:line="520" w:lineRule="exact"/>
        <w:ind w:firstLine="540"/>
        <w:rPr>
          <w:rFonts w:hint="eastAsia" w:ascii="Times New Roman" w:hAnsi="Times New Roman" w:eastAsia="宋体" w:cs="Times New Roman"/>
          <w:sz w:val="28"/>
          <w:szCs w:val="28"/>
          <w:lang w:eastAsia="zh-CN"/>
        </w:rPr>
      </w:pPr>
      <w:r>
        <w:rPr>
          <w:rFonts w:hint="eastAsia" w:ascii="Times New Roman" w:hAnsi="Times New Roman" w:eastAsia="宋体" w:cs="Times New Roman"/>
          <w:sz w:val="28"/>
          <w:szCs w:val="28"/>
          <w:lang w:eastAsia="zh-CN"/>
        </w:rPr>
        <w:t>（三）货物到货验收后，所有包装及随装资料归甲方所有。</w:t>
      </w:r>
    </w:p>
    <w:p>
      <w:pPr>
        <w:spacing w:line="520" w:lineRule="exact"/>
        <w:outlineLvl w:val="2"/>
        <w:rPr>
          <w:rFonts w:ascii="黑体" w:hAnsi="Times New Roman" w:eastAsia="黑体" w:cs="Times New Roman"/>
          <w:sz w:val="28"/>
          <w:szCs w:val="28"/>
        </w:rPr>
      </w:pPr>
      <w:bookmarkStart w:id="720" w:name="_Toc29612"/>
      <w:bookmarkStart w:id="721" w:name="_Toc28255"/>
      <w:bookmarkStart w:id="722" w:name="_Toc15463"/>
      <w:r>
        <w:rPr>
          <w:rFonts w:hint="eastAsia" w:ascii="黑体" w:eastAsia="黑体" w:cs="Times New Roman"/>
          <w:sz w:val="28"/>
          <w:szCs w:val="28"/>
          <w:lang w:val="en-US" w:eastAsia="zh-CN"/>
        </w:rPr>
        <w:t>五</w:t>
      </w:r>
      <w:r>
        <w:rPr>
          <w:rFonts w:hint="eastAsia" w:ascii="黑体" w:hAnsi="Times New Roman" w:eastAsia="黑体" w:cs="Times New Roman"/>
          <w:sz w:val="28"/>
          <w:szCs w:val="28"/>
        </w:rPr>
        <w:t>、交货时间、地点、方式</w:t>
      </w:r>
      <w:bookmarkEnd w:id="720"/>
      <w:bookmarkEnd w:id="721"/>
      <w:bookmarkEnd w:id="722"/>
    </w:p>
    <w:p>
      <w:pPr>
        <w:spacing w:line="520" w:lineRule="exact"/>
        <w:rPr>
          <w:rFonts w:ascii="Times New Roman" w:hAnsi="Times New Roman" w:eastAsia="仿宋_GB2312" w:cs="Times New Roman"/>
          <w:sz w:val="28"/>
          <w:szCs w:val="28"/>
        </w:rPr>
      </w:pP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（一）交货时间：</w:t>
      </w:r>
      <w:r>
        <w:rPr>
          <w:rFonts w:ascii="Times New Roman" w:hAnsi="Times New Roman" w:eastAsia="仿宋_GB2312" w:cs="Times New Roman"/>
          <w:sz w:val="28"/>
          <w:szCs w:val="28"/>
          <w:u w:val="single"/>
        </w:rPr>
        <w:t xml:space="preserve">                          </w:t>
      </w:r>
    </w:p>
    <w:p>
      <w:pPr>
        <w:spacing w:line="520" w:lineRule="exact"/>
        <w:rPr>
          <w:rFonts w:ascii="Times New Roman" w:hAnsi="Times New Roman" w:eastAsia="宋体" w:cs="Times New Roman"/>
          <w:sz w:val="28"/>
          <w:szCs w:val="28"/>
        </w:rPr>
      </w:pP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（二）交货地点：</w:t>
      </w:r>
      <w:r>
        <w:rPr>
          <w:rFonts w:ascii="Times New Roman" w:hAnsi="Times New Roman" w:eastAsia="仿宋_GB2312" w:cs="Times New Roman"/>
          <w:sz w:val="28"/>
          <w:szCs w:val="28"/>
          <w:u w:val="single"/>
        </w:rPr>
        <w:t xml:space="preserve">                          </w:t>
      </w:r>
      <w:r>
        <w:rPr>
          <w:rFonts w:ascii="Times New Roman" w:hAnsi="Times New Roman" w:eastAsia="宋体" w:cs="Times New Roman"/>
          <w:sz w:val="28"/>
          <w:szCs w:val="28"/>
        </w:rPr>
        <w:t xml:space="preserve"> </w:t>
      </w:r>
    </w:p>
    <w:p>
      <w:pPr>
        <w:spacing w:line="520" w:lineRule="exact"/>
        <w:rPr>
          <w:rFonts w:ascii="Times New Roman" w:hAnsi="Times New Roman" w:eastAsia="宋体" w:cs="Times New Roman"/>
          <w:sz w:val="28"/>
          <w:szCs w:val="28"/>
        </w:rPr>
      </w:pP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（三）交货方式：</w:t>
      </w:r>
      <w:r>
        <w:rPr>
          <w:rFonts w:ascii="Times New Roman" w:hAnsi="Times New Roman" w:eastAsia="仿宋_GB2312" w:cs="Times New Roman"/>
          <w:sz w:val="28"/>
          <w:szCs w:val="28"/>
          <w:u w:val="single"/>
        </w:rPr>
        <w:t xml:space="preserve">                          </w:t>
      </w:r>
      <w:r>
        <w:rPr>
          <w:rFonts w:ascii="Times New Roman" w:hAnsi="Times New Roman" w:eastAsia="宋体" w:cs="Times New Roman"/>
          <w:sz w:val="28"/>
          <w:szCs w:val="28"/>
        </w:rPr>
        <w:t xml:space="preserve"> </w:t>
      </w:r>
    </w:p>
    <w:p>
      <w:pPr>
        <w:spacing w:line="520" w:lineRule="exact"/>
        <w:outlineLvl w:val="2"/>
        <w:rPr>
          <w:rFonts w:ascii="黑体" w:hAnsi="Times New Roman" w:eastAsia="黑体" w:cs="Times New Roman"/>
          <w:sz w:val="28"/>
          <w:szCs w:val="28"/>
        </w:rPr>
      </w:pPr>
      <w:bookmarkStart w:id="723" w:name="_Toc16389"/>
      <w:bookmarkStart w:id="724" w:name="_Toc17065"/>
      <w:r>
        <w:rPr>
          <w:rFonts w:hint="eastAsia" w:ascii="黑体" w:eastAsia="黑体" w:cs="Times New Roman"/>
          <w:sz w:val="28"/>
          <w:szCs w:val="28"/>
          <w:lang w:val="en-US" w:eastAsia="zh-CN"/>
        </w:rPr>
        <w:t>六</w:t>
      </w:r>
      <w:r>
        <w:rPr>
          <w:rFonts w:hint="eastAsia" w:ascii="黑体" w:hAnsi="Times New Roman" w:eastAsia="黑体" w:cs="Times New Roman"/>
          <w:sz w:val="28"/>
          <w:szCs w:val="28"/>
        </w:rPr>
        <w:t>、质量验收</w:t>
      </w:r>
      <w:bookmarkEnd w:id="723"/>
      <w:bookmarkEnd w:id="724"/>
    </w:p>
    <w:p>
      <w:pPr>
        <w:spacing w:line="520" w:lineRule="exact"/>
        <w:ind w:firstLine="560" w:firstLineChars="20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（一）货物交付前，乙方应对货物进行全面自检，符合交付条件后，由</w:t>
      </w:r>
      <w:r>
        <w:rPr>
          <w:rFonts w:hint="eastAsia" w:ascii="Times New Roman" w:hAnsi="Times New Roman" w:eastAsia="宋体" w:cs="Times New Roman"/>
          <w:sz w:val="28"/>
          <w:szCs w:val="28"/>
          <w:lang w:eastAsia="zh-CN"/>
        </w:rPr>
        <w:t>甲</w:t>
      </w:r>
      <w:r>
        <w:rPr>
          <w:rFonts w:hint="eastAsia" w:ascii="Times New Roman" w:hAnsi="Times New Roman" w:eastAsia="宋体" w:cs="Times New Roman"/>
          <w:sz w:val="28"/>
          <w:szCs w:val="28"/>
        </w:rPr>
        <w:t>方</w:t>
      </w:r>
      <w:r>
        <w:rPr>
          <w:rFonts w:hint="eastAsia" w:ascii="Times New Roman" w:hAnsi="Times New Roman" w:eastAsia="宋体" w:cs="Times New Roman"/>
          <w:sz w:val="28"/>
          <w:szCs w:val="28"/>
          <w:lang w:eastAsia="zh-CN"/>
        </w:rPr>
        <w:t>需求科室</w:t>
      </w:r>
      <w:r>
        <w:rPr>
          <w:rFonts w:hint="eastAsia" w:ascii="Times New Roman" w:hAnsi="Times New Roman" w:eastAsia="宋体" w:cs="Times New Roman"/>
          <w:sz w:val="28"/>
          <w:szCs w:val="28"/>
        </w:rPr>
        <w:t>组织验收。</w:t>
      </w:r>
    </w:p>
    <w:p>
      <w:pPr>
        <w:spacing w:line="520" w:lineRule="exact"/>
        <w:ind w:firstLine="560" w:firstLineChars="20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（二）在交货时乙方应对所提供的产品出具国家标准规定的产品合格证或国家认可的行业标准规定的产品合格证。</w:t>
      </w:r>
    </w:p>
    <w:p>
      <w:pPr>
        <w:spacing w:line="520" w:lineRule="exact"/>
        <w:ind w:firstLine="560" w:firstLineChars="20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（三）甲方在交货前有权对乙方提供的货物、技术、服务提出异议，并采取相关措施确保质量合格。</w:t>
      </w:r>
    </w:p>
    <w:p>
      <w:pPr>
        <w:spacing w:line="520" w:lineRule="exact"/>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（四）具体组织程序、验收标准和方法，按</w:t>
      </w:r>
      <w:r>
        <w:rPr>
          <w:rFonts w:hint="eastAsia" w:ascii="Times New Roman" w:hAnsi="Times New Roman" w:eastAsia="宋体" w:cs="Times New Roman"/>
          <w:sz w:val="28"/>
          <w:szCs w:val="28"/>
          <w:lang w:eastAsia="zh-CN"/>
        </w:rPr>
        <w:t>甲方</w:t>
      </w:r>
      <w:r>
        <w:rPr>
          <w:rFonts w:hint="eastAsia" w:ascii="Times New Roman" w:hAnsi="Times New Roman" w:eastAsia="宋体" w:cs="Times New Roman"/>
          <w:sz w:val="28"/>
          <w:szCs w:val="28"/>
        </w:rPr>
        <w:t>规定程序执行，乙方配合。</w:t>
      </w:r>
    </w:p>
    <w:p>
      <w:pPr>
        <w:spacing w:line="520" w:lineRule="exact"/>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（五）产品出厂验收不合格，甲方有权拒收货物和解除采购合同，由此造成的损失，由</w:t>
      </w:r>
      <w:r>
        <w:rPr>
          <w:rFonts w:hint="eastAsia" w:ascii="Times New Roman" w:hAnsi="Times New Roman" w:eastAsia="宋体" w:cs="Times New Roman"/>
          <w:sz w:val="28"/>
          <w:szCs w:val="28"/>
          <w:lang w:eastAsia="zh-CN"/>
        </w:rPr>
        <w:t>乙方</w:t>
      </w:r>
      <w:r>
        <w:rPr>
          <w:rFonts w:hint="eastAsia" w:ascii="Times New Roman" w:hAnsi="Times New Roman" w:eastAsia="宋体" w:cs="Times New Roman"/>
          <w:sz w:val="28"/>
          <w:szCs w:val="28"/>
        </w:rPr>
        <w:t>承担。出厂验收过程中，</w:t>
      </w:r>
      <w:r>
        <w:rPr>
          <w:rFonts w:hint="eastAsia" w:ascii="Times New Roman" w:hAnsi="Times New Roman" w:eastAsia="宋体" w:cs="Times New Roman"/>
          <w:sz w:val="28"/>
          <w:szCs w:val="28"/>
          <w:lang w:eastAsia="zh-CN"/>
        </w:rPr>
        <w:t>乙方</w:t>
      </w:r>
      <w:r>
        <w:rPr>
          <w:rFonts w:hint="eastAsia" w:ascii="Times New Roman" w:hAnsi="Times New Roman" w:eastAsia="宋体" w:cs="Times New Roman"/>
          <w:sz w:val="28"/>
          <w:szCs w:val="28"/>
        </w:rPr>
        <w:t>可有</w:t>
      </w:r>
      <w:r>
        <w:rPr>
          <w:rFonts w:ascii="Times New Roman" w:hAnsi="Times New Roman" w:eastAsia="宋体" w:cs="Times New Roman"/>
          <w:sz w:val="28"/>
          <w:szCs w:val="28"/>
        </w:rPr>
        <w:t>1</w:t>
      </w:r>
      <w:r>
        <w:rPr>
          <w:rFonts w:hint="eastAsia" w:ascii="Times New Roman" w:hAnsi="Times New Roman" w:eastAsia="宋体" w:cs="Times New Roman"/>
          <w:sz w:val="28"/>
          <w:szCs w:val="28"/>
        </w:rPr>
        <w:t>次整改机会，若第一次检验未通过，甲方将书面通知</w:t>
      </w:r>
      <w:r>
        <w:rPr>
          <w:rFonts w:hint="eastAsia" w:ascii="Times New Roman" w:hAnsi="Times New Roman" w:eastAsia="宋体" w:cs="Times New Roman"/>
          <w:sz w:val="28"/>
          <w:szCs w:val="28"/>
          <w:lang w:eastAsia="zh-CN"/>
        </w:rPr>
        <w:t>乙方</w:t>
      </w:r>
      <w:r>
        <w:rPr>
          <w:rFonts w:hint="eastAsia" w:ascii="Times New Roman" w:hAnsi="Times New Roman" w:eastAsia="宋体" w:cs="Times New Roman"/>
          <w:sz w:val="28"/>
          <w:szCs w:val="28"/>
        </w:rPr>
        <w:t>限期整改，整改后进行第二次检验，检验合格后方可出厂。若第二次检验仍未通过的，甲方有权取消或解除采购合同，由此造成的损失，由</w:t>
      </w:r>
      <w:r>
        <w:rPr>
          <w:rFonts w:hint="eastAsia" w:ascii="Times New Roman" w:hAnsi="Times New Roman" w:eastAsia="宋体" w:cs="Times New Roman"/>
          <w:sz w:val="28"/>
          <w:szCs w:val="28"/>
          <w:lang w:eastAsia="zh-CN"/>
        </w:rPr>
        <w:t>乙方</w:t>
      </w:r>
      <w:r>
        <w:rPr>
          <w:rFonts w:hint="eastAsia" w:ascii="Times New Roman" w:hAnsi="Times New Roman" w:eastAsia="宋体" w:cs="Times New Roman"/>
          <w:sz w:val="28"/>
          <w:szCs w:val="28"/>
        </w:rPr>
        <w:t>承担。</w:t>
      </w:r>
    </w:p>
    <w:p>
      <w:pPr>
        <w:spacing w:line="520" w:lineRule="exact"/>
        <w:ind w:firstLine="48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（六）</w:t>
      </w:r>
      <w:r>
        <w:rPr>
          <w:rFonts w:hint="eastAsia" w:ascii="Times New Roman" w:hAnsi="Times New Roman" w:eastAsia="宋体" w:cs="Times New Roman"/>
          <w:sz w:val="28"/>
          <w:szCs w:val="28"/>
          <w:lang w:eastAsia="zh-CN"/>
        </w:rPr>
        <w:t>甲方</w:t>
      </w:r>
      <w:r>
        <w:rPr>
          <w:rFonts w:hint="eastAsia" w:ascii="Times New Roman" w:hAnsi="Times New Roman" w:eastAsia="宋体" w:cs="Times New Roman"/>
          <w:sz w:val="28"/>
          <w:szCs w:val="28"/>
        </w:rPr>
        <w:t>在产品使用过程中，发现产品性能指标未达到要求的，</w:t>
      </w:r>
      <w:r>
        <w:rPr>
          <w:rFonts w:hint="eastAsia" w:ascii="Times New Roman" w:hAnsi="Times New Roman" w:eastAsia="宋体" w:cs="Times New Roman"/>
          <w:sz w:val="28"/>
          <w:szCs w:val="28"/>
          <w:lang w:eastAsia="zh-CN"/>
        </w:rPr>
        <w:t>乙方</w:t>
      </w:r>
      <w:r>
        <w:rPr>
          <w:rFonts w:hint="eastAsia" w:ascii="Times New Roman" w:hAnsi="Times New Roman" w:eastAsia="宋体" w:cs="Times New Roman"/>
          <w:sz w:val="28"/>
          <w:szCs w:val="28"/>
        </w:rPr>
        <w:t>按照</w:t>
      </w:r>
      <w:r>
        <w:rPr>
          <w:rFonts w:hint="eastAsia" w:ascii="Times New Roman" w:hAnsi="Times New Roman" w:eastAsia="宋体" w:cs="Times New Roman"/>
          <w:sz w:val="28"/>
          <w:szCs w:val="28"/>
          <w:lang w:eastAsia="zh-CN"/>
        </w:rPr>
        <w:t>甲方需求科室</w:t>
      </w:r>
      <w:r>
        <w:rPr>
          <w:rFonts w:hint="eastAsia" w:ascii="Times New Roman" w:hAnsi="Times New Roman" w:eastAsia="宋体" w:cs="Times New Roman"/>
          <w:sz w:val="28"/>
          <w:szCs w:val="28"/>
        </w:rPr>
        <w:t>明确的整改期限（不超过</w:t>
      </w:r>
      <w:r>
        <w:rPr>
          <w:rFonts w:ascii="Times New Roman" w:hAnsi="Times New Roman" w:eastAsia="宋体" w:cs="Times New Roman"/>
          <w:sz w:val="28"/>
          <w:szCs w:val="28"/>
        </w:rPr>
        <w:t>1</w:t>
      </w:r>
      <w:r>
        <w:rPr>
          <w:rFonts w:hint="eastAsia" w:ascii="Times New Roman" w:hAnsi="Times New Roman" w:eastAsia="宋体" w:cs="Times New Roman"/>
          <w:sz w:val="28"/>
          <w:szCs w:val="28"/>
        </w:rPr>
        <w:t>个月），可有</w:t>
      </w:r>
      <w:r>
        <w:rPr>
          <w:rFonts w:ascii="Times New Roman" w:hAnsi="Times New Roman" w:eastAsia="宋体" w:cs="Times New Roman"/>
          <w:sz w:val="28"/>
          <w:szCs w:val="28"/>
        </w:rPr>
        <w:t>1</w:t>
      </w:r>
      <w:r>
        <w:rPr>
          <w:rFonts w:hint="eastAsia" w:ascii="Times New Roman" w:hAnsi="Times New Roman" w:eastAsia="宋体" w:cs="Times New Roman"/>
          <w:sz w:val="28"/>
          <w:szCs w:val="28"/>
        </w:rPr>
        <w:t>次整改机会，在规定期限内未整改完毕的，由此造成的损失，由</w:t>
      </w:r>
      <w:r>
        <w:rPr>
          <w:rFonts w:hint="eastAsia" w:ascii="Times New Roman" w:hAnsi="Times New Roman" w:eastAsia="宋体" w:cs="Times New Roman"/>
          <w:sz w:val="28"/>
          <w:szCs w:val="28"/>
          <w:lang w:eastAsia="zh-CN"/>
        </w:rPr>
        <w:t>乙方</w:t>
      </w:r>
      <w:r>
        <w:rPr>
          <w:rFonts w:hint="eastAsia" w:ascii="Times New Roman" w:hAnsi="Times New Roman" w:eastAsia="宋体" w:cs="Times New Roman"/>
          <w:sz w:val="28"/>
          <w:szCs w:val="28"/>
        </w:rPr>
        <w:t>承担。</w:t>
      </w:r>
    </w:p>
    <w:p>
      <w:pPr>
        <w:spacing w:line="520" w:lineRule="exact"/>
        <w:ind w:firstLine="480"/>
        <w:outlineLvl w:val="2"/>
        <w:rPr>
          <w:rFonts w:hint="eastAsia" w:ascii="黑体" w:hAnsi="Times New Roman" w:eastAsia="黑体" w:cs="Times New Roman"/>
          <w:sz w:val="28"/>
          <w:szCs w:val="28"/>
        </w:rPr>
      </w:pPr>
      <w:bookmarkStart w:id="725" w:name="_Toc16384"/>
      <w:bookmarkStart w:id="726" w:name="_Toc6323"/>
      <w:r>
        <w:rPr>
          <w:rFonts w:hint="eastAsia" w:ascii="黑体" w:eastAsia="黑体" w:cs="Times New Roman"/>
          <w:sz w:val="28"/>
          <w:szCs w:val="28"/>
          <w:lang w:val="en-US" w:eastAsia="zh-CN"/>
        </w:rPr>
        <w:t>七</w:t>
      </w:r>
      <w:r>
        <w:rPr>
          <w:rFonts w:hint="eastAsia" w:ascii="黑体" w:hAnsi="Times New Roman" w:eastAsia="黑体" w:cs="Times New Roman"/>
          <w:sz w:val="28"/>
          <w:szCs w:val="28"/>
        </w:rPr>
        <w:t>、货物打码贴签要求</w:t>
      </w:r>
      <w:bookmarkEnd w:id="725"/>
      <w:bookmarkEnd w:id="726"/>
    </w:p>
    <w:p>
      <w:pPr>
        <w:spacing w:line="520" w:lineRule="exact"/>
        <w:ind w:firstLine="48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（一）乙方应当按照统一要求，提供货物相关数据信息，配合军方做好编目数据采集工作。</w:t>
      </w:r>
    </w:p>
    <w:p>
      <w:pPr>
        <w:spacing w:line="520" w:lineRule="exact"/>
        <w:ind w:firstLine="480"/>
        <w:rPr>
          <w:rFonts w:hint="eastAsia" w:ascii="Times New Roman" w:hAnsi="Times New Roman" w:eastAsia="宋体" w:cs="Times New Roman"/>
          <w:sz w:val="28"/>
          <w:szCs w:val="28"/>
        </w:rPr>
      </w:pPr>
      <w:r>
        <w:rPr>
          <w:rFonts w:hint="eastAsia" w:ascii="宋体" w:hAnsi="宋体" w:eastAsia="宋体" w:cs="宋体"/>
          <w:sz w:val="28"/>
          <w:szCs w:val="28"/>
        </w:rPr>
        <w:t>1．</w:t>
      </w:r>
      <w:r>
        <w:rPr>
          <w:rFonts w:hint="eastAsia" w:ascii="Times New Roman" w:hAnsi="Times New Roman" w:eastAsia="宋体" w:cs="Times New Roman"/>
          <w:sz w:val="28"/>
          <w:szCs w:val="28"/>
        </w:rPr>
        <w:t>乙方可通过军队采购网互联网网站（http://www.plap.cn）或“通用物资编目数据平台”（http://www.ngcode.cn/catalog），下载编目用户终端软件。使用涉密专用计算机安装软件，按要求录入采购物资数据（已编目物资品种须填写编目码，已在“通用物资编目数据平台”上注册的产品数据可直接导入编目用户终端软件），导入技术规范、产品说明书、图片等电子文件，生成并导出编目申请数据包，提交采购单位或军委后勤保障部和军兵种、武警部队承担军用物资编目职能的单位。</w:t>
      </w:r>
    </w:p>
    <w:p>
      <w:pPr>
        <w:spacing w:line="520" w:lineRule="exact"/>
        <w:ind w:firstLine="480"/>
        <w:rPr>
          <w:rFonts w:hint="eastAsia" w:ascii="Times New Roman" w:hAnsi="Times New Roman" w:eastAsia="宋体" w:cs="Times New Roman"/>
          <w:sz w:val="28"/>
          <w:szCs w:val="28"/>
        </w:rPr>
      </w:pPr>
      <w:r>
        <w:rPr>
          <w:rFonts w:hint="eastAsia" w:ascii="宋体" w:hAnsi="宋体" w:eastAsia="宋体" w:cs="宋体"/>
          <w:sz w:val="28"/>
          <w:szCs w:val="28"/>
        </w:rPr>
        <w:t>2．</w:t>
      </w:r>
      <w:r>
        <w:rPr>
          <w:rFonts w:hint="eastAsia"/>
          <w:b w:val="0"/>
          <w:bCs/>
          <w:color w:val="000000"/>
          <w:sz w:val="28"/>
          <w:szCs w:val="28"/>
        </w:rPr>
        <w:t>乙方应当配合承担军用物资编目职能的单位，补充完善编目数据。</w:t>
      </w:r>
    </w:p>
    <w:p>
      <w:pPr>
        <w:spacing w:line="520" w:lineRule="exact"/>
        <w:ind w:firstLine="480"/>
        <w:rPr>
          <w:rFonts w:hint="eastAsia" w:ascii="Times New Roman" w:hAnsi="Times New Roman" w:eastAsia="宋体" w:cs="Times New Roman"/>
          <w:sz w:val="28"/>
          <w:szCs w:val="28"/>
        </w:rPr>
      </w:pPr>
      <w:r>
        <w:rPr>
          <w:rFonts w:hint="eastAsia" w:ascii="宋体" w:hAnsi="宋体" w:eastAsia="宋体" w:cs="宋体"/>
          <w:sz w:val="28"/>
          <w:szCs w:val="28"/>
        </w:rPr>
        <w:t>3．</w:t>
      </w:r>
      <w:r>
        <w:rPr>
          <w:rFonts w:hint="eastAsia" w:ascii="Times New Roman" w:hAnsi="Times New Roman" w:eastAsia="宋体" w:cs="Times New Roman"/>
          <w:sz w:val="28"/>
          <w:szCs w:val="28"/>
        </w:rPr>
        <w:t>乙方通过甲方接收赋码后的编目数据包，导入编目用户终端软件，获取编目码，用于打码贴签、验收结算等。</w:t>
      </w:r>
    </w:p>
    <w:p>
      <w:pPr>
        <w:spacing w:line="520" w:lineRule="exact"/>
        <w:ind w:firstLine="48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（二）乙方应当按照统一要求在货物交付前完成打码贴签工作。</w:t>
      </w:r>
    </w:p>
    <w:p>
      <w:pPr>
        <w:pageBreakBefore w:val="0"/>
        <w:widowControl w:val="0"/>
        <w:kinsoku/>
        <w:wordWrap/>
        <w:overflowPunct/>
        <w:topLinePunct w:val="0"/>
        <w:autoSpaceDE/>
        <w:autoSpaceDN/>
        <w:bidi w:val="0"/>
        <w:spacing w:line="560" w:lineRule="exact"/>
        <w:ind w:firstLine="482"/>
        <w:textAlignment w:val="auto"/>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1．</w:t>
      </w:r>
      <w:r>
        <w:rPr>
          <w:rFonts w:hint="eastAsia"/>
          <w:b w:val="0"/>
          <w:bCs/>
          <w:color w:val="000000"/>
          <w:sz w:val="28"/>
          <w:szCs w:val="28"/>
        </w:rPr>
        <w:t>货物标签格式、张挂位置、材质、码制等内容，应当符合军队有关要求。</w:t>
      </w:r>
    </w:p>
    <w:p>
      <w:pPr>
        <w:spacing w:line="520" w:lineRule="exact"/>
        <w:ind w:firstLine="48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2．货物标签上的编目码应当与合同物资明细表中的编目码完全一致。</w:t>
      </w:r>
    </w:p>
    <w:p>
      <w:pPr>
        <w:spacing w:line="520" w:lineRule="exact"/>
        <w:ind w:firstLine="48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三）军委后勤保障部和军兵种、武警部队承担军用物资编目职能的单位，按照职责分工，负责审核乙方提供的货物编目数据、根据需要联系乙方补充完善数据，核准完善后出具《编目确认单》（采购单位通过“军用物资和装备编目系统”下载），作为结算凭证之一。</w:t>
      </w:r>
    </w:p>
    <w:p>
      <w:pPr>
        <w:spacing w:line="520" w:lineRule="exact"/>
        <w:ind w:firstLine="48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（四）货物编目数据填报和打码贴签情况，列入出厂验收、接收验收项目；编目数据、标识标签不符合规范要求的，验收不予通过，不得进入物资储存单位。乙方应在7日内完成整改，重新协调甲方组织验收。</w:t>
      </w:r>
    </w:p>
    <w:p>
      <w:pPr>
        <w:spacing w:line="520" w:lineRule="exact"/>
        <w:ind w:firstLine="480"/>
        <w:rPr>
          <w:rFonts w:hint="eastAsia" w:ascii="黑体" w:hAnsi="Times New Roman" w:eastAsia="黑体" w:cs="Times New Roman"/>
          <w:color w:val="auto"/>
          <w:sz w:val="28"/>
          <w:szCs w:val="28"/>
        </w:rPr>
      </w:pPr>
      <w:r>
        <w:rPr>
          <w:rFonts w:hint="eastAsia" w:ascii="Times New Roman" w:hAnsi="Times New Roman" w:eastAsia="宋体" w:cs="Times New Roman"/>
          <w:sz w:val="28"/>
          <w:szCs w:val="28"/>
        </w:rPr>
        <w:t>（五</w:t>
      </w:r>
      <w:r>
        <w:rPr>
          <w:rFonts w:hint="eastAsia" w:ascii="Times New Roman" w:hAnsi="Times New Roman" w:eastAsia="宋体" w:cs="Times New Roman"/>
          <w:color w:val="auto"/>
          <w:sz w:val="28"/>
          <w:szCs w:val="28"/>
        </w:rPr>
        <w:t>）合同结算时，采购单位应获取合同对应的《编目确认单》，生成导出数据。财务部门在结算合同款项时，检查核对合同和《编目确认单》，并将相关数据导入资产管理、结算报销信息系统。若无《编目确认单》，或《编目确认单》中的“合同编号”与合同不一致的，不予结算。</w:t>
      </w:r>
    </w:p>
    <w:p>
      <w:pPr>
        <w:spacing w:line="520" w:lineRule="exact"/>
        <w:ind w:firstLine="480"/>
        <w:outlineLvl w:val="2"/>
        <w:rPr>
          <w:rFonts w:hint="eastAsia" w:ascii="黑体" w:hAnsi="Times New Roman" w:eastAsia="黑体" w:cs="Times New Roman"/>
          <w:sz w:val="28"/>
          <w:szCs w:val="28"/>
        </w:rPr>
      </w:pPr>
      <w:bookmarkStart w:id="727" w:name="_Toc8535"/>
      <w:bookmarkStart w:id="728" w:name="_Toc440"/>
      <w:bookmarkStart w:id="729" w:name="_Toc17282"/>
      <w:bookmarkStart w:id="730" w:name="_Toc28755"/>
      <w:bookmarkStart w:id="731" w:name="_Toc1539"/>
      <w:r>
        <w:rPr>
          <w:rFonts w:hint="eastAsia" w:ascii="黑体" w:hAnsi="Times New Roman" w:eastAsia="黑体" w:cs="Times New Roman"/>
          <w:sz w:val="28"/>
          <w:szCs w:val="28"/>
          <w:lang w:val="en-US" w:eastAsia="zh-CN"/>
        </w:rPr>
        <w:t>八</w:t>
      </w:r>
      <w:r>
        <w:rPr>
          <w:rFonts w:hint="eastAsia" w:ascii="黑体" w:hAnsi="Times New Roman" w:eastAsia="黑体" w:cs="Times New Roman"/>
          <w:sz w:val="28"/>
          <w:szCs w:val="28"/>
        </w:rPr>
        <w:t>、售后服务</w:t>
      </w:r>
      <w:bookmarkEnd w:id="727"/>
      <w:bookmarkEnd w:id="728"/>
      <w:bookmarkEnd w:id="729"/>
      <w:bookmarkEnd w:id="730"/>
      <w:bookmarkEnd w:id="731"/>
    </w:p>
    <w:p>
      <w:pPr>
        <w:pageBreakBefore w:val="0"/>
        <w:widowControl w:val="0"/>
        <w:kinsoku/>
        <w:wordWrap/>
        <w:overflowPunct/>
        <w:topLinePunct w:val="0"/>
        <w:autoSpaceDE/>
        <w:autoSpaceDN/>
        <w:bidi w:val="0"/>
        <w:spacing w:line="560" w:lineRule="exact"/>
        <w:textAlignment w:val="auto"/>
        <w:rPr>
          <w:rFonts w:eastAsia="仿宋_GB2312"/>
          <w:b w:val="0"/>
          <w:bCs/>
          <w:color w:val="auto"/>
          <w:sz w:val="28"/>
          <w:szCs w:val="28"/>
        </w:rPr>
      </w:pPr>
      <w:r>
        <w:rPr>
          <w:rFonts w:ascii="Times New Roman" w:hAnsi="Times New Roman" w:eastAsia="宋体" w:cs="Times New Roman"/>
          <w:color w:val="auto"/>
          <w:sz w:val="28"/>
          <w:szCs w:val="28"/>
        </w:rPr>
        <w:t xml:space="preserve">   </w:t>
      </w:r>
      <w:r>
        <w:rPr>
          <w:rFonts w:hint="eastAsia"/>
          <w:b w:val="0"/>
          <w:bCs/>
          <w:color w:val="auto"/>
          <w:sz w:val="28"/>
          <w:szCs w:val="28"/>
        </w:rPr>
        <w:t>（一）乙方负责免费运输、安装、调试、培训和服务保障等。</w:t>
      </w:r>
    </w:p>
    <w:p>
      <w:pPr>
        <w:pageBreakBefore w:val="0"/>
        <w:widowControl w:val="0"/>
        <w:kinsoku/>
        <w:wordWrap/>
        <w:overflowPunct/>
        <w:topLinePunct w:val="0"/>
        <w:autoSpaceDE/>
        <w:autoSpaceDN/>
        <w:bidi w:val="0"/>
        <w:spacing w:line="560" w:lineRule="exact"/>
        <w:ind w:firstLine="560" w:firstLineChars="200"/>
        <w:textAlignment w:val="auto"/>
        <w:rPr>
          <w:rFonts w:hint="eastAsia" w:eastAsia="宋体"/>
          <w:b w:val="0"/>
          <w:bCs/>
          <w:color w:val="auto"/>
          <w:sz w:val="28"/>
          <w:szCs w:val="28"/>
          <w:lang w:eastAsia="zh-CN"/>
        </w:rPr>
      </w:pPr>
      <w:r>
        <w:rPr>
          <w:rFonts w:hint="eastAsia"/>
          <w:b w:val="0"/>
          <w:bCs/>
          <w:color w:val="auto"/>
          <w:sz w:val="28"/>
          <w:szCs w:val="28"/>
        </w:rPr>
        <w:t>（二）自货物验收完毕之日起，货物免费质保期   年。在免费质保期内，出现产品质量问题，甲方提出后，乙方维修到达现场时间   小时内（本地）；乙方维修到达现场时间   小时内（外地）</w:t>
      </w:r>
      <w:r>
        <w:rPr>
          <w:rFonts w:hint="eastAsia"/>
          <w:b w:val="0"/>
          <w:bCs/>
          <w:color w:val="auto"/>
          <w:sz w:val="28"/>
          <w:szCs w:val="28"/>
          <w:lang w:eastAsia="zh-CN"/>
        </w:rPr>
        <w:t>。</w:t>
      </w:r>
    </w:p>
    <w:p>
      <w:pPr>
        <w:pageBreakBefore w:val="0"/>
        <w:widowControl w:val="0"/>
        <w:kinsoku/>
        <w:wordWrap/>
        <w:overflowPunct/>
        <w:topLinePunct w:val="0"/>
        <w:autoSpaceDE/>
        <w:autoSpaceDN/>
        <w:bidi w:val="0"/>
        <w:spacing w:line="560" w:lineRule="exact"/>
        <w:ind w:firstLine="540"/>
        <w:textAlignment w:val="auto"/>
        <w:rPr>
          <w:rFonts w:hint="eastAsia" w:eastAsia="宋体"/>
          <w:b w:val="0"/>
          <w:bCs/>
          <w:color w:val="auto"/>
          <w:sz w:val="28"/>
          <w:szCs w:val="28"/>
          <w:lang w:eastAsia="zh-CN"/>
        </w:rPr>
      </w:pPr>
      <w:r>
        <w:rPr>
          <w:rFonts w:hint="eastAsia"/>
          <w:b w:val="0"/>
          <w:bCs/>
          <w:color w:val="auto"/>
          <w:sz w:val="28"/>
          <w:szCs w:val="28"/>
        </w:rPr>
        <w:t>（三）长期提供免费优良的技术支持及备品备件优惠供应，备件价格不超过本合同价格。配件供应时间≥**年</w:t>
      </w:r>
      <w:r>
        <w:rPr>
          <w:rFonts w:hint="eastAsia"/>
          <w:b w:val="0"/>
          <w:bCs/>
          <w:color w:val="auto"/>
          <w:sz w:val="28"/>
          <w:szCs w:val="28"/>
          <w:lang w:eastAsia="zh-CN"/>
        </w:rPr>
        <w:t>。</w:t>
      </w:r>
    </w:p>
    <w:p>
      <w:pPr>
        <w:pageBreakBefore w:val="0"/>
        <w:widowControl w:val="0"/>
        <w:kinsoku/>
        <w:wordWrap/>
        <w:overflowPunct/>
        <w:topLinePunct w:val="0"/>
        <w:autoSpaceDE/>
        <w:autoSpaceDN/>
        <w:bidi w:val="0"/>
        <w:spacing w:line="560" w:lineRule="exact"/>
        <w:ind w:firstLine="540"/>
        <w:textAlignment w:val="auto"/>
        <w:rPr>
          <w:b w:val="0"/>
          <w:bCs/>
          <w:color w:val="auto"/>
          <w:sz w:val="28"/>
          <w:szCs w:val="28"/>
        </w:rPr>
      </w:pPr>
      <w:r>
        <w:rPr>
          <w:rFonts w:hint="eastAsia"/>
          <w:b w:val="0"/>
          <w:bCs/>
          <w:color w:val="auto"/>
          <w:sz w:val="28"/>
          <w:szCs w:val="28"/>
        </w:rPr>
        <w:t>（四）乙方需提供在投标文件中承诺的所有售后服务项目。</w:t>
      </w:r>
    </w:p>
    <w:p>
      <w:pPr>
        <w:pageBreakBefore w:val="0"/>
        <w:widowControl w:val="0"/>
        <w:kinsoku/>
        <w:wordWrap/>
        <w:overflowPunct/>
        <w:topLinePunct w:val="0"/>
        <w:autoSpaceDE/>
        <w:autoSpaceDN/>
        <w:bidi w:val="0"/>
        <w:spacing w:line="560" w:lineRule="exact"/>
        <w:ind w:firstLine="540"/>
        <w:textAlignment w:val="auto"/>
        <w:rPr>
          <w:rFonts w:hint="eastAsia"/>
          <w:b w:val="0"/>
          <w:bCs/>
          <w:color w:val="auto"/>
          <w:sz w:val="28"/>
          <w:szCs w:val="28"/>
        </w:rPr>
      </w:pPr>
      <w:r>
        <w:rPr>
          <w:rFonts w:hint="eastAsia"/>
          <w:b w:val="0"/>
          <w:bCs/>
          <w:color w:val="auto"/>
          <w:sz w:val="28"/>
          <w:szCs w:val="28"/>
        </w:rPr>
        <w:t>（五）免费提供技术培训，包括交装培训、安装服务、试运行指导服务；乙方在现场根据客户要求提供设备安装，安装完毕后提供详细的中文技术文档，同时提供跟产培训。</w:t>
      </w:r>
    </w:p>
    <w:p>
      <w:pPr>
        <w:pageBreakBefore w:val="0"/>
        <w:widowControl w:val="0"/>
        <w:kinsoku/>
        <w:wordWrap/>
        <w:overflowPunct/>
        <w:topLinePunct w:val="0"/>
        <w:autoSpaceDE/>
        <w:autoSpaceDN/>
        <w:bidi w:val="0"/>
        <w:spacing w:line="560" w:lineRule="exact"/>
        <w:ind w:firstLine="540"/>
        <w:textAlignment w:val="auto"/>
        <w:rPr>
          <w:rFonts w:hint="eastAsia" w:eastAsia="宋体"/>
          <w:b w:val="0"/>
          <w:bCs/>
          <w:color w:val="FF0000"/>
          <w:sz w:val="28"/>
          <w:szCs w:val="28"/>
          <w:lang w:eastAsia="zh-CN"/>
        </w:rPr>
      </w:pPr>
      <w:r>
        <w:rPr>
          <w:rFonts w:hint="eastAsia"/>
          <w:b w:val="0"/>
          <w:bCs/>
          <w:color w:val="auto"/>
          <w:sz w:val="28"/>
          <w:szCs w:val="28"/>
        </w:rPr>
        <w:t>（六）提供终生维护保障。在质保期内因设备自身设计、制造缺陷造成的各种故障，乙方承诺进行免费技术服务、维修或更换。在质保期后，乙方继续提供技术支持服务和系统软件升级换代，备件和服务的价格不超过本次投标价格，终身维护保障。</w:t>
      </w:r>
    </w:p>
    <w:p>
      <w:pPr>
        <w:spacing w:line="520" w:lineRule="exact"/>
        <w:ind w:firstLine="540" w:firstLineChars="0"/>
        <w:outlineLvl w:val="2"/>
        <w:rPr>
          <w:rFonts w:hint="eastAsia" w:ascii="黑体" w:hAnsi="Times New Roman" w:eastAsia="黑体" w:cs="Times New Roman"/>
          <w:sz w:val="28"/>
          <w:szCs w:val="28"/>
        </w:rPr>
      </w:pPr>
      <w:bookmarkStart w:id="732" w:name="_Toc22088"/>
      <w:bookmarkStart w:id="733" w:name="_Toc22422"/>
      <w:bookmarkStart w:id="734" w:name="_Toc7635"/>
      <w:r>
        <w:rPr>
          <w:rFonts w:hint="eastAsia" w:ascii="黑体" w:eastAsia="黑体" w:cs="Times New Roman"/>
          <w:sz w:val="28"/>
          <w:szCs w:val="28"/>
          <w:lang w:val="en-US" w:eastAsia="zh-CN"/>
        </w:rPr>
        <w:t>九</w:t>
      </w:r>
      <w:r>
        <w:rPr>
          <w:rFonts w:hint="eastAsia" w:ascii="黑体" w:hAnsi="Times New Roman" w:eastAsia="黑体" w:cs="Times New Roman"/>
          <w:sz w:val="28"/>
          <w:szCs w:val="28"/>
        </w:rPr>
        <w:t>、资金结算</w:t>
      </w:r>
      <w:bookmarkEnd w:id="732"/>
      <w:bookmarkEnd w:id="733"/>
      <w:bookmarkEnd w:id="734"/>
    </w:p>
    <w:p>
      <w:pPr>
        <w:pageBreakBefore w:val="0"/>
        <w:widowControl w:val="0"/>
        <w:kinsoku/>
        <w:wordWrap/>
        <w:overflowPunct/>
        <w:topLinePunct w:val="0"/>
        <w:autoSpaceDE/>
        <w:autoSpaceDN/>
        <w:bidi w:val="0"/>
        <w:spacing w:line="560" w:lineRule="exact"/>
        <w:ind w:firstLine="548" w:firstLineChars="196"/>
        <w:textAlignment w:val="auto"/>
        <w:rPr>
          <w:b w:val="0"/>
          <w:bCs/>
          <w:color w:val="auto"/>
          <w:sz w:val="28"/>
          <w:szCs w:val="28"/>
        </w:rPr>
      </w:pPr>
      <w:r>
        <w:rPr>
          <w:rFonts w:hint="eastAsia"/>
          <w:b w:val="0"/>
          <w:bCs/>
          <w:color w:val="auto"/>
          <w:sz w:val="28"/>
          <w:szCs w:val="28"/>
        </w:rPr>
        <w:t>本项目不预付货款，货物运达指定地点验收合格后，合同乙方收集发运接收单、发票、验收报告等资料，提交采购单位办理结算手续，采购单位在</w:t>
      </w:r>
      <w:r>
        <w:rPr>
          <w:b w:val="0"/>
          <w:bCs/>
          <w:color w:val="auto"/>
          <w:sz w:val="28"/>
          <w:szCs w:val="28"/>
        </w:rPr>
        <w:t>30</w:t>
      </w:r>
      <w:r>
        <w:rPr>
          <w:rFonts w:hint="eastAsia"/>
          <w:b w:val="0"/>
          <w:bCs/>
          <w:color w:val="auto"/>
          <w:sz w:val="28"/>
          <w:szCs w:val="28"/>
        </w:rPr>
        <w:t>天内向乙方支付货款。</w:t>
      </w:r>
    </w:p>
    <w:p>
      <w:pPr>
        <w:spacing w:line="520" w:lineRule="exact"/>
        <w:ind w:firstLine="540" w:firstLineChars="0"/>
        <w:outlineLvl w:val="2"/>
        <w:rPr>
          <w:rFonts w:hint="eastAsia" w:ascii="黑体" w:hAnsi="Times New Roman" w:eastAsia="黑体" w:cs="Times New Roman"/>
          <w:sz w:val="28"/>
          <w:szCs w:val="28"/>
        </w:rPr>
      </w:pPr>
      <w:bookmarkStart w:id="735" w:name="_Toc13062"/>
      <w:bookmarkStart w:id="736" w:name="_Toc16300"/>
      <w:bookmarkStart w:id="737" w:name="_Toc12128"/>
      <w:bookmarkStart w:id="738" w:name="_Toc2447"/>
      <w:r>
        <w:rPr>
          <w:rFonts w:hint="eastAsia" w:ascii="黑体" w:hAnsi="Times New Roman" w:eastAsia="黑体" w:cs="Times New Roman"/>
          <w:sz w:val="28"/>
          <w:szCs w:val="28"/>
          <w:lang w:val="en-US" w:eastAsia="zh-CN"/>
        </w:rPr>
        <w:t>十、</w:t>
      </w:r>
      <w:r>
        <w:rPr>
          <w:rFonts w:hint="eastAsia" w:ascii="黑体" w:hAnsi="Times New Roman" w:eastAsia="黑体" w:cs="Times New Roman"/>
          <w:sz w:val="28"/>
          <w:szCs w:val="28"/>
        </w:rPr>
        <w:t>履约保证金和质量保证金</w:t>
      </w:r>
      <w:bookmarkEnd w:id="735"/>
      <w:bookmarkEnd w:id="736"/>
      <w:bookmarkEnd w:id="737"/>
    </w:p>
    <w:p>
      <w:pPr>
        <w:keepNext w:val="0"/>
        <w:keepLines w:val="0"/>
        <w:pageBreakBefore w:val="0"/>
        <w:kinsoku/>
        <w:wordWrap/>
        <w:overflowPunct/>
        <w:topLinePunct w:val="0"/>
        <w:bidi w:val="0"/>
        <w:snapToGrid w:val="0"/>
        <w:spacing w:line="560" w:lineRule="exact"/>
        <w:ind w:firstLine="560" w:firstLineChars="200"/>
        <w:textAlignment w:val="auto"/>
        <w:rPr>
          <w:rFonts w:hint="eastAsia" w:ascii="宋体" w:hAnsi="宋体"/>
          <w:b w:val="0"/>
          <w:bCs/>
          <w:snapToGrid w:val="0"/>
          <w:sz w:val="28"/>
          <w:szCs w:val="28"/>
          <w:lang w:eastAsia="zh-CN"/>
        </w:rPr>
      </w:pPr>
      <w:r>
        <w:rPr>
          <w:rFonts w:hint="eastAsia" w:ascii="宋体" w:hAnsi="宋体"/>
          <w:b w:val="0"/>
          <w:bCs/>
          <w:snapToGrid w:val="0"/>
          <w:sz w:val="28"/>
          <w:szCs w:val="28"/>
          <w:lang w:val="en-US" w:eastAsia="zh-CN"/>
        </w:rPr>
        <w:t>本项目不收取履约保证金。</w:t>
      </w:r>
      <w:r>
        <w:rPr>
          <w:rFonts w:hint="eastAsia" w:ascii="宋体" w:hAnsi="宋体"/>
          <w:b w:val="0"/>
          <w:bCs/>
          <w:snapToGrid w:val="0"/>
          <w:sz w:val="28"/>
          <w:szCs w:val="28"/>
        </w:rPr>
        <w:t>合同履行货物验收合格后，</w:t>
      </w:r>
      <w:r>
        <w:rPr>
          <w:rFonts w:hint="eastAsia" w:ascii="宋体" w:hAnsi="宋体" w:eastAsia="宋体" w:cs="宋体"/>
          <w:sz w:val="28"/>
          <w:szCs w:val="28"/>
          <w:lang w:val="zh-CN" w:eastAsia="zh-CN"/>
        </w:rPr>
        <w:t>预留质量保证金为合同总金额的5%</w:t>
      </w:r>
      <w:r>
        <w:rPr>
          <w:rFonts w:hint="eastAsia" w:ascii="宋体" w:hAnsi="宋体"/>
          <w:b w:val="0"/>
          <w:bCs/>
          <w:snapToGrid w:val="0"/>
          <w:sz w:val="28"/>
          <w:szCs w:val="28"/>
        </w:rPr>
        <w:t>，</w:t>
      </w:r>
      <w:r>
        <w:rPr>
          <w:rFonts w:hint="eastAsia" w:ascii="宋体" w:hAnsi="宋体" w:eastAsia="宋体" w:cs="宋体"/>
          <w:sz w:val="28"/>
          <w:szCs w:val="28"/>
          <w:lang w:val="zh-CN" w:eastAsia="zh-CN"/>
        </w:rPr>
        <w:t>乙方交付验收合格的货物正常运行满一年后</w:t>
      </w:r>
      <w:r>
        <w:rPr>
          <w:rFonts w:hint="eastAsia" w:ascii="宋体" w:hAnsi="宋体"/>
          <w:b w:val="0"/>
          <w:bCs/>
          <w:snapToGrid w:val="0"/>
          <w:sz w:val="28"/>
          <w:szCs w:val="28"/>
        </w:rPr>
        <w:t>全额无息退还</w:t>
      </w:r>
      <w:r>
        <w:rPr>
          <w:rFonts w:hint="eastAsia" w:ascii="宋体" w:hAnsi="宋体"/>
          <w:b w:val="0"/>
          <w:bCs/>
          <w:snapToGrid w:val="0"/>
          <w:sz w:val="28"/>
          <w:szCs w:val="28"/>
          <w:lang w:eastAsia="zh-CN"/>
        </w:rPr>
        <w:t>。</w:t>
      </w:r>
    </w:p>
    <w:bookmarkEnd w:id="738"/>
    <w:p>
      <w:pPr>
        <w:pStyle w:val="5"/>
        <w:spacing w:before="0" w:after="0" w:line="560" w:lineRule="exact"/>
        <w:ind w:firstLine="560" w:firstLineChars="200"/>
        <w:rPr>
          <w:rFonts w:ascii="黑体" w:hAnsi="黑体" w:cs="黑体"/>
          <w:b w:val="0"/>
          <w:sz w:val="28"/>
          <w:szCs w:val="28"/>
        </w:rPr>
      </w:pPr>
      <w:bookmarkStart w:id="739" w:name="_Toc24907"/>
      <w:bookmarkStart w:id="740" w:name="_Toc8626"/>
      <w:bookmarkStart w:id="741" w:name="_Toc6689"/>
      <w:bookmarkStart w:id="742" w:name="_Toc27543"/>
      <w:r>
        <w:rPr>
          <w:rFonts w:hint="eastAsia" w:ascii="黑体" w:hAnsi="黑体" w:cs="黑体"/>
          <w:b w:val="0"/>
          <w:sz w:val="28"/>
          <w:szCs w:val="28"/>
          <w:lang w:eastAsia="zh-CN"/>
        </w:rPr>
        <w:t>十一</w:t>
      </w:r>
      <w:r>
        <w:rPr>
          <w:rFonts w:hint="eastAsia" w:ascii="黑体" w:hAnsi="黑体" w:cs="黑体"/>
          <w:b w:val="0"/>
          <w:sz w:val="28"/>
          <w:szCs w:val="28"/>
        </w:rPr>
        <w:t>、保密条款</w:t>
      </w:r>
      <w:bookmarkEnd w:id="739"/>
    </w:p>
    <w:p>
      <w:pPr>
        <w:spacing w:line="560" w:lineRule="exact"/>
        <w:ind w:firstLine="560" w:firstLineChars="200"/>
        <w:rPr>
          <w:rFonts w:ascii="仿宋_GB2312"/>
          <w:bCs/>
          <w:sz w:val="28"/>
          <w:szCs w:val="28"/>
        </w:rPr>
      </w:pPr>
      <w:r>
        <w:rPr>
          <w:rFonts w:hint="eastAsia" w:ascii="仿宋_GB2312"/>
          <w:bCs/>
          <w:sz w:val="28"/>
          <w:szCs w:val="28"/>
        </w:rPr>
        <w:t>乙方知悉应当承担的保密义务，如违反以下条款，乙方承担一切法律责任，赔偿因违反承诺造成的损失，接受甲方按照国家和军队有关规定作出的处罚。参与本项目及其合同订立履行的乙方所属员工发生失密泄密的，由乙方承担连带责任：</w:t>
      </w:r>
    </w:p>
    <w:p>
      <w:pPr>
        <w:spacing w:line="560" w:lineRule="exact"/>
        <w:ind w:firstLine="560" w:firstLineChars="200"/>
        <w:rPr>
          <w:rFonts w:ascii="仿宋_GB2312"/>
          <w:bCs/>
          <w:sz w:val="28"/>
          <w:szCs w:val="28"/>
        </w:rPr>
      </w:pPr>
      <w:r>
        <w:rPr>
          <w:rFonts w:hint="eastAsia" w:ascii="仿宋_GB2312"/>
          <w:bCs/>
          <w:sz w:val="28"/>
          <w:szCs w:val="28"/>
        </w:rPr>
        <w:t>（一）严格遵守国家和军队保密法规制度要求，制定并严格落实保密管理制度，设置保密部门，配备保密人员，开展保密培训，严格约束所属员工行为，接受和配合甲方或军方采购管理部门、采购机构组织开展的保密指导和监督检查。</w:t>
      </w:r>
    </w:p>
    <w:p>
      <w:pPr>
        <w:spacing w:line="560" w:lineRule="exact"/>
        <w:ind w:firstLine="560" w:firstLineChars="200"/>
        <w:rPr>
          <w:rFonts w:ascii="仿宋_GB2312"/>
          <w:bCs/>
          <w:sz w:val="28"/>
          <w:szCs w:val="28"/>
        </w:rPr>
      </w:pPr>
      <w:r>
        <w:rPr>
          <w:rFonts w:hint="eastAsia" w:ascii="仿宋_GB2312"/>
          <w:bCs/>
          <w:sz w:val="28"/>
          <w:szCs w:val="28"/>
        </w:rPr>
        <w:t>（二）未经甲方或军方有权单位许可，不以摘抄、复制、告知、公布、出版、传递、转让或以其他任何方式使任何第三方组织和人员知悉本采购项目及其合同订立履行保密信息。甲方提供的或参与本项目及其合同订立履行获悉的所有信息均视为保密信息，甲方或军方有权单位明确表示无需保密的信息除外。</w:t>
      </w:r>
    </w:p>
    <w:p>
      <w:pPr>
        <w:spacing w:line="560" w:lineRule="exact"/>
        <w:ind w:firstLine="560" w:firstLineChars="200"/>
        <w:rPr>
          <w:rFonts w:ascii="仿宋_GB2312"/>
          <w:bCs/>
          <w:sz w:val="28"/>
          <w:szCs w:val="28"/>
        </w:rPr>
      </w:pPr>
      <w:r>
        <w:rPr>
          <w:rFonts w:hint="eastAsia" w:ascii="仿宋_GB2312"/>
          <w:bCs/>
          <w:sz w:val="28"/>
          <w:szCs w:val="28"/>
        </w:rPr>
        <w:t>（三）本采购项目及其合同订立履行保密信息，包括以手写、打印、软件、磁盘、光盘、胶片、图片、音视频或其他可读取方式记载的数据信息和文档资料，实行专人管理、专室专柜存放、定期审核销毁，不擅自复制留存。</w:t>
      </w:r>
    </w:p>
    <w:p>
      <w:pPr>
        <w:spacing w:line="560" w:lineRule="exact"/>
        <w:ind w:firstLine="560" w:firstLineChars="200"/>
        <w:rPr>
          <w:rFonts w:ascii="仿宋_GB2312"/>
          <w:bCs/>
          <w:sz w:val="28"/>
          <w:szCs w:val="28"/>
        </w:rPr>
      </w:pPr>
      <w:r>
        <w:rPr>
          <w:rFonts w:hint="eastAsia" w:ascii="仿宋_GB2312"/>
          <w:bCs/>
          <w:sz w:val="28"/>
          <w:szCs w:val="28"/>
        </w:rPr>
        <w:t>（四）不在联接互联网计算机中存储、处理、传递，不通过普通电话、传真、快递等非保密渠道传递本采购项目及其合同订立履行保密信息。</w:t>
      </w:r>
    </w:p>
    <w:p>
      <w:pPr>
        <w:spacing w:line="560" w:lineRule="exact"/>
        <w:ind w:firstLine="560" w:firstLineChars="200"/>
        <w:rPr>
          <w:rFonts w:hint="eastAsia" w:ascii="黑体" w:eastAsia="黑体" w:cs="Times New Roman"/>
          <w:sz w:val="28"/>
          <w:szCs w:val="28"/>
          <w:lang w:val="en-US" w:eastAsia="zh-CN"/>
        </w:rPr>
      </w:pPr>
      <w:r>
        <w:rPr>
          <w:rFonts w:hint="eastAsia" w:ascii="仿宋_GB2312"/>
          <w:bCs/>
          <w:sz w:val="28"/>
          <w:szCs w:val="28"/>
        </w:rPr>
        <w:t>（五）不将本采购项目合同订立履行保密信息作为企业业绩进行公开宣传。本合同履行完毕后，仍继续承担与合同履行期间相同的保密义务。在签订本合同前，乙方已知悉合同履行过程以及合同履行完毕后需要承担的保密义务及其成本，无须甲方另外支付保密相关费用。</w:t>
      </w:r>
    </w:p>
    <w:p>
      <w:pPr>
        <w:spacing w:line="520" w:lineRule="exact"/>
        <w:ind w:firstLine="548" w:firstLineChars="196"/>
        <w:outlineLvl w:val="2"/>
        <w:rPr>
          <w:rFonts w:ascii="黑体" w:hAnsi="Times New Roman" w:eastAsia="黑体" w:cs="Times New Roman"/>
          <w:sz w:val="28"/>
          <w:szCs w:val="28"/>
        </w:rPr>
      </w:pPr>
      <w:r>
        <w:rPr>
          <w:rFonts w:hint="eastAsia" w:ascii="黑体" w:eastAsia="黑体" w:cs="Times New Roman"/>
          <w:sz w:val="28"/>
          <w:szCs w:val="28"/>
          <w:lang w:val="en-US" w:eastAsia="zh-CN"/>
        </w:rPr>
        <w:t>十二</w:t>
      </w:r>
      <w:r>
        <w:rPr>
          <w:rFonts w:hint="eastAsia" w:ascii="黑体" w:hAnsi="Times New Roman" w:eastAsia="黑体" w:cs="Times New Roman"/>
          <w:sz w:val="28"/>
          <w:szCs w:val="28"/>
        </w:rPr>
        <w:t>、知识产权</w:t>
      </w:r>
      <w:bookmarkEnd w:id="740"/>
      <w:bookmarkEnd w:id="741"/>
      <w:bookmarkEnd w:id="742"/>
    </w:p>
    <w:p>
      <w:pPr>
        <w:pageBreakBefore w:val="0"/>
        <w:widowControl w:val="0"/>
        <w:kinsoku/>
        <w:wordWrap/>
        <w:overflowPunct/>
        <w:topLinePunct w:val="0"/>
        <w:autoSpaceDE/>
        <w:autoSpaceDN/>
        <w:bidi w:val="0"/>
        <w:spacing w:line="560" w:lineRule="exact"/>
        <w:ind w:firstLine="560" w:firstLineChars="200"/>
        <w:textAlignment w:val="auto"/>
        <w:rPr>
          <w:rFonts w:ascii="仿宋_GB2312" w:hAnsi="宋体"/>
          <w:b w:val="0"/>
          <w:bCs/>
          <w:color w:val="auto"/>
          <w:sz w:val="28"/>
          <w:szCs w:val="28"/>
        </w:rPr>
      </w:pPr>
      <w:r>
        <w:rPr>
          <w:rFonts w:hint="eastAsia" w:ascii="仿宋_GB2312"/>
          <w:b w:val="0"/>
          <w:bCs/>
          <w:color w:val="auto"/>
          <w:sz w:val="28"/>
          <w:szCs w:val="28"/>
        </w:rPr>
        <w:t>乙方应当保证</w:t>
      </w:r>
      <w:r>
        <w:rPr>
          <w:rFonts w:hint="eastAsia" w:ascii="仿宋_GB2312"/>
          <w:b w:val="0"/>
          <w:bCs/>
          <w:color w:val="auto"/>
          <w:sz w:val="28"/>
          <w:szCs w:val="28"/>
          <w:lang w:val="en-US" w:eastAsia="zh-CN"/>
        </w:rPr>
        <w:t>甲</w:t>
      </w:r>
      <w:r>
        <w:rPr>
          <w:rFonts w:hint="eastAsia" w:ascii="仿宋_GB2312"/>
          <w:b w:val="0"/>
          <w:bCs/>
          <w:color w:val="auto"/>
          <w:sz w:val="28"/>
          <w:szCs w:val="28"/>
        </w:rPr>
        <w:t>方在使用货物和服务时不受第三方提出侵犯其专利权、商标权和工业设计权的起诉，</w:t>
      </w:r>
      <w:r>
        <w:rPr>
          <w:rFonts w:hint="eastAsia" w:ascii="仿宋_GB2312" w:hAnsi="宋体"/>
          <w:b w:val="0"/>
          <w:bCs/>
          <w:color w:val="auto"/>
          <w:sz w:val="28"/>
          <w:szCs w:val="28"/>
        </w:rPr>
        <w:t>甲方不承担任何连带责任和赔偿责任。</w:t>
      </w:r>
    </w:p>
    <w:p>
      <w:pPr>
        <w:pageBreakBefore w:val="0"/>
        <w:widowControl w:val="0"/>
        <w:kinsoku/>
        <w:wordWrap/>
        <w:overflowPunct/>
        <w:topLinePunct w:val="0"/>
        <w:autoSpaceDE/>
        <w:autoSpaceDN/>
        <w:bidi w:val="0"/>
        <w:spacing w:line="560" w:lineRule="exact"/>
        <w:ind w:firstLine="560" w:firstLineChars="200"/>
        <w:textAlignment w:val="auto"/>
        <w:rPr>
          <w:rFonts w:ascii="仿宋_GB2312" w:hAnsi="宋体"/>
          <w:b w:val="0"/>
          <w:bCs/>
          <w:color w:val="auto"/>
          <w:sz w:val="28"/>
          <w:szCs w:val="28"/>
        </w:rPr>
      </w:pPr>
      <w:r>
        <w:rPr>
          <w:rFonts w:hint="eastAsia" w:ascii="仿宋_GB2312" w:hAnsi="宋体"/>
          <w:b w:val="0"/>
          <w:bCs/>
          <w:color w:val="auto"/>
          <w:sz w:val="28"/>
          <w:szCs w:val="28"/>
        </w:rPr>
        <w:t>基于项目合同履行形成的知识产权和其他权益，其权属归需求单位所有，法律另有规定的除外。</w:t>
      </w:r>
    </w:p>
    <w:p>
      <w:pPr>
        <w:spacing w:line="520" w:lineRule="exact"/>
        <w:ind w:firstLine="560" w:firstLineChars="200"/>
        <w:outlineLvl w:val="2"/>
        <w:rPr>
          <w:rFonts w:hint="eastAsia" w:ascii="黑体" w:hAnsi="宋体" w:eastAsia="黑体" w:cs="Times New Roman"/>
          <w:sz w:val="28"/>
          <w:szCs w:val="28"/>
        </w:rPr>
      </w:pPr>
      <w:bookmarkStart w:id="743" w:name="_Toc23197"/>
      <w:bookmarkStart w:id="744" w:name="_Toc12653"/>
      <w:bookmarkStart w:id="745" w:name="_Toc17397"/>
      <w:bookmarkStart w:id="746" w:name="_Toc23741"/>
      <w:r>
        <w:rPr>
          <w:rFonts w:hint="eastAsia" w:ascii="黑体" w:hAnsi="宋体" w:eastAsia="黑体" w:cs="Times New Roman"/>
          <w:sz w:val="28"/>
          <w:szCs w:val="28"/>
          <w:lang w:eastAsia="zh-CN"/>
        </w:rPr>
        <w:t>十</w:t>
      </w:r>
      <w:r>
        <w:rPr>
          <w:rFonts w:hint="eastAsia" w:ascii="黑体" w:hAnsi="宋体" w:eastAsia="黑体" w:cs="Times New Roman"/>
          <w:sz w:val="28"/>
          <w:szCs w:val="28"/>
          <w:lang w:val="en-US" w:eastAsia="zh-CN"/>
        </w:rPr>
        <w:t>三</w:t>
      </w:r>
      <w:r>
        <w:rPr>
          <w:rFonts w:hint="eastAsia" w:ascii="黑体" w:hAnsi="宋体" w:eastAsia="黑体" w:cs="Times New Roman"/>
          <w:sz w:val="28"/>
          <w:szCs w:val="28"/>
        </w:rPr>
        <w:t>、合同的变更和解除</w:t>
      </w:r>
      <w:bookmarkEnd w:id="743"/>
      <w:bookmarkEnd w:id="744"/>
      <w:bookmarkEnd w:id="745"/>
      <w:bookmarkEnd w:id="746"/>
    </w:p>
    <w:p>
      <w:pPr>
        <w:pageBreakBefore w:val="0"/>
        <w:widowControl w:val="0"/>
        <w:kinsoku/>
        <w:wordWrap/>
        <w:overflowPunct/>
        <w:topLinePunct w:val="0"/>
        <w:autoSpaceDE/>
        <w:autoSpaceDN/>
        <w:bidi w:val="0"/>
        <w:spacing w:line="560" w:lineRule="exact"/>
        <w:ind w:firstLine="560" w:firstLineChars="200"/>
        <w:jc w:val="left"/>
        <w:textAlignment w:val="auto"/>
        <w:rPr>
          <w:rFonts w:ascii="仿宋_GB2312" w:hAnsi="宋体"/>
          <w:b w:val="0"/>
          <w:bCs/>
          <w:color w:val="auto"/>
          <w:sz w:val="28"/>
          <w:szCs w:val="28"/>
        </w:rPr>
      </w:pPr>
      <w:r>
        <w:rPr>
          <w:rFonts w:hint="eastAsia" w:ascii="仿宋_GB2312" w:hAnsi="宋体"/>
          <w:b w:val="0"/>
          <w:bCs/>
          <w:color w:val="auto"/>
          <w:sz w:val="28"/>
          <w:szCs w:val="28"/>
        </w:rPr>
        <w:t>（一）因合同变更、解除造成损失的，过错方应当承担赔偿责任，双方都有过错的，甲乙双方应当各自承担相应的责任。</w:t>
      </w:r>
    </w:p>
    <w:p>
      <w:pPr>
        <w:pageBreakBefore w:val="0"/>
        <w:widowControl w:val="0"/>
        <w:kinsoku/>
        <w:wordWrap/>
        <w:overflowPunct/>
        <w:topLinePunct w:val="0"/>
        <w:autoSpaceDE/>
        <w:autoSpaceDN/>
        <w:bidi w:val="0"/>
        <w:spacing w:line="560" w:lineRule="exact"/>
        <w:ind w:firstLine="560" w:firstLineChars="200"/>
        <w:jc w:val="left"/>
        <w:textAlignment w:val="auto"/>
        <w:rPr>
          <w:rFonts w:ascii="仿宋_GB2312" w:hAnsi="宋体"/>
          <w:b w:val="0"/>
          <w:bCs/>
          <w:color w:val="auto"/>
          <w:sz w:val="28"/>
          <w:szCs w:val="28"/>
        </w:rPr>
      </w:pPr>
      <w:r>
        <w:rPr>
          <w:rFonts w:hint="eastAsia" w:ascii="仿宋_GB2312" w:hAnsi="宋体"/>
          <w:b w:val="0"/>
          <w:bCs/>
          <w:color w:val="auto"/>
          <w:sz w:val="28"/>
          <w:szCs w:val="28"/>
        </w:rPr>
        <w:t>（二）合同履行中，经甲乙双方协商一致，并由甲方按照军队有关规定办理审批后，可以变更合同。</w:t>
      </w:r>
    </w:p>
    <w:p>
      <w:pPr>
        <w:pageBreakBefore w:val="0"/>
        <w:widowControl w:val="0"/>
        <w:kinsoku/>
        <w:wordWrap/>
        <w:overflowPunct/>
        <w:topLinePunct w:val="0"/>
        <w:autoSpaceDE/>
        <w:autoSpaceDN/>
        <w:bidi w:val="0"/>
        <w:spacing w:line="560" w:lineRule="exact"/>
        <w:ind w:firstLine="560" w:firstLineChars="200"/>
        <w:jc w:val="left"/>
        <w:textAlignment w:val="auto"/>
        <w:rPr>
          <w:rFonts w:ascii="仿宋_GB2312" w:hAnsi="宋体"/>
          <w:b w:val="0"/>
          <w:bCs/>
          <w:color w:val="000000"/>
          <w:sz w:val="28"/>
          <w:szCs w:val="28"/>
        </w:rPr>
      </w:pPr>
      <w:r>
        <w:rPr>
          <w:rFonts w:hint="eastAsia" w:ascii="仿宋_GB2312" w:hAnsi="宋体"/>
          <w:b w:val="0"/>
          <w:bCs/>
          <w:color w:val="auto"/>
          <w:sz w:val="28"/>
          <w:szCs w:val="28"/>
        </w:rPr>
        <w:t>（三）合同履行中，存在以下情形之一的，甲方有权解除合同：①因不可抗力无法履行合同，不能实现合同目的</w:t>
      </w:r>
      <w:r>
        <w:rPr>
          <w:rFonts w:hint="eastAsia" w:ascii="仿宋_GB2312" w:hAnsi="宋体"/>
          <w:b w:val="0"/>
          <w:bCs/>
          <w:color w:val="000000"/>
          <w:sz w:val="28"/>
          <w:szCs w:val="28"/>
        </w:rPr>
        <w:t>；②继续履行合同将损害国家或者军队利益，且无法通过合同变更或者中止方式解决；③采购任务调整或者取消，不能通过合同变更方式达成新协议；④乙方明确表示或者以自己的行为表明不履行合同主要义务；⑤乙方迟延履行合同主要义务，经催告后在限定合理整改期限内仍不履行；⑥乙方存在违规违约行为致使不能实现合同目的；⑦乙方</w:t>
      </w:r>
      <w:r>
        <w:rPr>
          <w:rFonts w:hint="eastAsia" w:ascii="仿宋_GB2312" w:hAnsi="宋体"/>
          <w:b w:val="0"/>
          <w:bCs/>
          <w:color w:val="000000"/>
          <w:sz w:val="28"/>
          <w:szCs w:val="28"/>
          <w:lang w:val="zh-CN"/>
        </w:rPr>
        <w:t>发生控股关系、经营范围等重大实质性变化，不符合合同约定的；⑧</w:t>
      </w:r>
      <w:r>
        <w:rPr>
          <w:rFonts w:hint="eastAsia" w:ascii="仿宋_GB2312" w:hAnsi="宋体"/>
          <w:b w:val="0"/>
          <w:bCs/>
          <w:color w:val="000000"/>
          <w:sz w:val="28"/>
          <w:szCs w:val="28"/>
        </w:rPr>
        <w:t>国家法律法规规定或者合同约定的其他情形。</w:t>
      </w:r>
    </w:p>
    <w:p>
      <w:pPr>
        <w:snapToGrid w:val="0"/>
        <w:spacing w:line="520" w:lineRule="exact"/>
        <w:ind w:firstLine="560" w:firstLineChars="200"/>
        <w:jc w:val="left"/>
        <w:rPr>
          <w:rFonts w:hint="eastAsia" w:ascii="仿宋_GB2312" w:hAnsi="宋体" w:eastAsia="宋体" w:cs="Times New Roman"/>
          <w:sz w:val="28"/>
          <w:szCs w:val="28"/>
        </w:rPr>
      </w:pPr>
      <w:r>
        <w:rPr>
          <w:rFonts w:hint="eastAsia" w:ascii="仿宋_GB2312" w:hAnsi="宋体"/>
          <w:b w:val="0"/>
          <w:bCs/>
          <w:color w:val="000000"/>
          <w:sz w:val="28"/>
          <w:szCs w:val="28"/>
        </w:rPr>
        <w:t>（四）解除合同时，合同尚未履行的部分终止履行；对于乙方已履行的部分，甲乙双方区分情形，按照以下约定办理：①合同已履行并验收合格的部分，乙方没有违规违约行为的，甲方应当按照合同办理支付结算；乙方存在违规违约行为的，甲方应当按照本合同约定扣除违规违约赔偿费用后，办理支付结算；②合同已履行部分存在质量瑕疵的，甲方有权要求乙方采取修理、重作、更换等补救措施，验收合格后，按照本项第①条办理支付结算；③合同已履行部分根据甲方要求经乙方补救后仍未达到合同约定要求的，甲方有权拒绝接收；④乙方对合同解除负有主要过错责任的，甲方有权拒绝接收合同已履行部分货物；⑤合同已履行部分，甲方按照本合同约定拒绝接收的，乙方应当按照法律要求恢复原状。</w:t>
      </w:r>
    </w:p>
    <w:p>
      <w:pPr>
        <w:spacing w:line="520" w:lineRule="exact"/>
        <w:ind w:firstLine="560" w:firstLineChars="200"/>
        <w:outlineLvl w:val="2"/>
        <w:rPr>
          <w:rFonts w:hint="eastAsia" w:ascii="黑体" w:hAnsi="宋体" w:eastAsia="黑体" w:cs="Times New Roman"/>
          <w:sz w:val="28"/>
          <w:szCs w:val="28"/>
        </w:rPr>
      </w:pPr>
      <w:bookmarkStart w:id="747" w:name="_Toc16528"/>
      <w:bookmarkStart w:id="748" w:name="_Toc12763"/>
      <w:bookmarkStart w:id="749" w:name="_Toc12762"/>
      <w:bookmarkStart w:id="750" w:name="_Toc26595"/>
      <w:r>
        <w:rPr>
          <w:rFonts w:hint="eastAsia" w:ascii="黑体" w:hAnsi="宋体" w:eastAsia="黑体" w:cs="Times New Roman"/>
          <w:sz w:val="28"/>
          <w:szCs w:val="28"/>
        </w:rPr>
        <w:t>十</w:t>
      </w:r>
      <w:r>
        <w:rPr>
          <w:rFonts w:hint="eastAsia" w:ascii="黑体" w:hAnsi="宋体" w:eastAsia="黑体" w:cs="Times New Roman"/>
          <w:sz w:val="28"/>
          <w:szCs w:val="28"/>
          <w:lang w:val="en-US" w:eastAsia="zh-CN"/>
        </w:rPr>
        <w:t>四</w:t>
      </w:r>
      <w:r>
        <w:rPr>
          <w:rFonts w:hint="eastAsia" w:ascii="黑体" w:hAnsi="宋体" w:eastAsia="黑体" w:cs="Times New Roman"/>
          <w:sz w:val="28"/>
          <w:szCs w:val="28"/>
        </w:rPr>
        <w:t>、履约监督</w:t>
      </w:r>
      <w:bookmarkEnd w:id="747"/>
      <w:bookmarkEnd w:id="748"/>
      <w:bookmarkEnd w:id="749"/>
      <w:bookmarkEnd w:id="750"/>
    </w:p>
    <w:p>
      <w:pPr>
        <w:pageBreakBefore w:val="0"/>
        <w:widowControl w:val="0"/>
        <w:kinsoku/>
        <w:wordWrap/>
        <w:overflowPunct/>
        <w:topLinePunct w:val="0"/>
        <w:autoSpaceDE/>
        <w:autoSpaceDN/>
        <w:bidi w:val="0"/>
        <w:spacing w:line="560" w:lineRule="exact"/>
        <w:ind w:firstLine="560" w:firstLineChars="200"/>
        <w:jc w:val="left"/>
        <w:textAlignment w:val="auto"/>
        <w:rPr>
          <w:rFonts w:ascii="仿宋_GB2312" w:hAnsi="宋体"/>
          <w:b w:val="0"/>
          <w:bCs/>
          <w:color w:val="000000"/>
          <w:sz w:val="28"/>
          <w:szCs w:val="28"/>
        </w:rPr>
      </w:pPr>
      <w:r>
        <w:rPr>
          <w:rFonts w:hint="eastAsia" w:ascii="仿宋_GB2312" w:hAnsi="宋体"/>
          <w:b w:val="0"/>
          <w:bCs/>
          <w:color w:val="000000"/>
          <w:sz w:val="28"/>
          <w:szCs w:val="28"/>
        </w:rPr>
        <w:t>（一）乙方承诺接受甲方对其资质和履约能力进行监管，并保证在其资质和履约能力发生变化时向甲方通报，乙方存在法律规定的丧失或者可能丧失合同履行能力有关情形时，甲方有权中止合同。</w:t>
      </w:r>
    </w:p>
    <w:p>
      <w:pPr>
        <w:pageBreakBefore w:val="0"/>
        <w:widowControl w:val="0"/>
        <w:kinsoku/>
        <w:wordWrap/>
        <w:overflowPunct/>
        <w:topLinePunct w:val="0"/>
        <w:autoSpaceDE/>
        <w:autoSpaceDN/>
        <w:bidi w:val="0"/>
        <w:spacing w:line="560" w:lineRule="exact"/>
        <w:ind w:firstLine="560" w:firstLineChars="200"/>
        <w:jc w:val="left"/>
        <w:textAlignment w:val="auto"/>
        <w:rPr>
          <w:rFonts w:ascii="仿宋_GB2312" w:hAnsi="宋体"/>
          <w:b w:val="0"/>
          <w:bCs/>
          <w:color w:val="000000"/>
          <w:sz w:val="28"/>
          <w:szCs w:val="28"/>
        </w:rPr>
      </w:pPr>
      <w:r>
        <w:rPr>
          <w:rFonts w:hint="eastAsia" w:ascii="仿宋_GB2312" w:hAnsi="宋体"/>
          <w:b w:val="0"/>
          <w:bCs/>
          <w:color w:val="000000"/>
          <w:sz w:val="28"/>
          <w:szCs w:val="28"/>
        </w:rPr>
        <w:t>（二）在不妨碍乙方正常生产、作业的情况下，甲方有关不定期对货物生产进度和过程质量管控情况进行监督检查，乙方承诺予以配合，如实反映情况，提供相关资料。</w:t>
      </w:r>
    </w:p>
    <w:p>
      <w:pPr>
        <w:pageBreakBefore w:val="0"/>
        <w:widowControl w:val="0"/>
        <w:kinsoku/>
        <w:wordWrap/>
        <w:overflowPunct/>
        <w:topLinePunct w:val="0"/>
        <w:autoSpaceDE/>
        <w:autoSpaceDN/>
        <w:bidi w:val="0"/>
        <w:spacing w:line="560" w:lineRule="exact"/>
        <w:ind w:firstLine="560" w:firstLineChars="200"/>
        <w:jc w:val="left"/>
        <w:textAlignment w:val="auto"/>
        <w:rPr>
          <w:rFonts w:ascii="仿宋_GB2312" w:hAnsi="宋体"/>
          <w:b w:val="0"/>
          <w:bCs/>
          <w:color w:val="000000"/>
          <w:sz w:val="28"/>
          <w:szCs w:val="28"/>
        </w:rPr>
      </w:pPr>
      <w:r>
        <w:rPr>
          <w:rFonts w:hint="eastAsia" w:ascii="仿宋_GB2312" w:hAnsi="宋体"/>
          <w:b w:val="0"/>
          <w:bCs/>
          <w:color w:val="000000"/>
          <w:sz w:val="28"/>
          <w:szCs w:val="28"/>
        </w:rPr>
        <w:t>（三）乙方对于军队采购管理部门、纪检监察部门、审计部门等职能部门开展的调查，承诺予以配合，如实反映情况，提供相关资料。</w:t>
      </w:r>
    </w:p>
    <w:p>
      <w:pPr>
        <w:pageBreakBefore w:val="0"/>
        <w:widowControl w:val="0"/>
        <w:kinsoku/>
        <w:wordWrap/>
        <w:overflowPunct/>
        <w:topLinePunct w:val="0"/>
        <w:autoSpaceDE/>
        <w:autoSpaceDN/>
        <w:bidi w:val="0"/>
        <w:spacing w:line="560" w:lineRule="exact"/>
        <w:ind w:firstLine="560" w:firstLineChars="200"/>
        <w:textAlignment w:val="auto"/>
        <w:rPr>
          <w:rFonts w:ascii="仿宋_GB2312" w:hAnsi="宋体"/>
          <w:b w:val="0"/>
          <w:bCs/>
          <w:color w:val="000000"/>
          <w:sz w:val="28"/>
          <w:szCs w:val="28"/>
        </w:rPr>
      </w:pPr>
      <w:r>
        <w:rPr>
          <w:rFonts w:hint="eastAsia" w:ascii="仿宋_GB2312" w:hAnsi="宋体"/>
          <w:b w:val="0"/>
          <w:bCs/>
          <w:color w:val="000000"/>
          <w:sz w:val="28"/>
          <w:szCs w:val="28"/>
        </w:rPr>
        <w:t>（四）乙方在合同订立、履行过程中，存在违法、违规、违约行为经查实的，承诺愿意无条件接受军队采购管理部门根据军队采购有关规定给予的书面警告、限制参加军队采购活动等处罚。</w:t>
      </w:r>
    </w:p>
    <w:p>
      <w:pPr>
        <w:spacing w:line="520" w:lineRule="exact"/>
        <w:outlineLvl w:val="2"/>
        <w:rPr>
          <w:rFonts w:ascii="黑体" w:hAnsi="宋体" w:eastAsia="黑体" w:cs="Times New Roman"/>
          <w:sz w:val="28"/>
          <w:szCs w:val="28"/>
        </w:rPr>
      </w:pPr>
      <w:bookmarkStart w:id="751" w:name="_Toc4713"/>
      <w:bookmarkStart w:id="752" w:name="_Toc2391"/>
      <w:bookmarkStart w:id="753" w:name="_Toc6101"/>
      <w:bookmarkStart w:id="754" w:name="_Toc22065"/>
      <w:r>
        <w:rPr>
          <w:rFonts w:hint="eastAsia" w:ascii="黑体" w:hAnsi="宋体" w:eastAsia="黑体" w:cs="Times New Roman"/>
          <w:sz w:val="28"/>
          <w:szCs w:val="28"/>
        </w:rPr>
        <w:t>十</w:t>
      </w:r>
      <w:r>
        <w:rPr>
          <w:rFonts w:hint="eastAsia" w:ascii="黑体" w:hAnsi="宋体" w:eastAsia="黑体" w:cs="Times New Roman"/>
          <w:sz w:val="28"/>
          <w:szCs w:val="28"/>
          <w:lang w:val="en-US" w:eastAsia="zh-CN"/>
        </w:rPr>
        <w:t>五</w:t>
      </w:r>
      <w:r>
        <w:rPr>
          <w:rFonts w:hint="eastAsia" w:ascii="黑体" w:hAnsi="宋体" w:eastAsia="黑体" w:cs="Times New Roman"/>
          <w:sz w:val="28"/>
          <w:szCs w:val="28"/>
        </w:rPr>
        <w:t>、违约责任</w:t>
      </w:r>
      <w:bookmarkEnd w:id="751"/>
      <w:bookmarkEnd w:id="752"/>
      <w:bookmarkEnd w:id="753"/>
      <w:bookmarkEnd w:id="754"/>
    </w:p>
    <w:p>
      <w:pPr>
        <w:pageBreakBefore w:val="0"/>
        <w:widowControl w:val="0"/>
        <w:kinsoku/>
        <w:wordWrap/>
        <w:overflowPunct/>
        <w:topLinePunct w:val="0"/>
        <w:autoSpaceDE/>
        <w:autoSpaceDN/>
        <w:bidi w:val="0"/>
        <w:spacing w:line="560" w:lineRule="exact"/>
        <w:ind w:firstLine="560" w:firstLineChars="200"/>
        <w:textAlignment w:val="auto"/>
        <w:rPr>
          <w:rFonts w:ascii="仿宋_GB2312" w:hAnsi="宋体" w:eastAsia="仿宋_GB2312"/>
          <w:b w:val="0"/>
          <w:bCs/>
          <w:color w:val="auto"/>
          <w:sz w:val="28"/>
          <w:szCs w:val="28"/>
        </w:rPr>
      </w:pPr>
      <w:r>
        <w:rPr>
          <w:rFonts w:hint="eastAsia" w:ascii="仿宋_GB2312" w:hAnsi="宋体"/>
          <w:b w:val="0"/>
          <w:bCs/>
          <w:color w:val="auto"/>
          <w:sz w:val="28"/>
          <w:szCs w:val="28"/>
        </w:rPr>
        <w:t>（一）乙方未经甲方、需求方同意而延期交货时，应当向甲方偿付违约金，违约金每天按违约货物金额的</w:t>
      </w:r>
      <w:r>
        <w:rPr>
          <w:rFonts w:hint="eastAsia" w:ascii="仿宋_GB2312" w:hAnsi="宋体" w:cs="Times New Roman"/>
          <w:color w:val="auto"/>
          <w:sz w:val="28"/>
          <w:szCs w:val="28"/>
          <w:highlight w:val="none"/>
          <w:u w:val="none"/>
          <w:lang w:val="en-US" w:eastAsia="zh-CN"/>
        </w:rPr>
        <w:t>1</w:t>
      </w:r>
      <w:r>
        <w:rPr>
          <w:rFonts w:hint="eastAsia" w:ascii="仿宋_GB2312" w:hAnsi="宋体" w:eastAsia="宋体" w:cs="Times New Roman"/>
          <w:color w:val="auto"/>
          <w:sz w:val="28"/>
          <w:szCs w:val="28"/>
          <w:highlight w:val="none"/>
        </w:rPr>
        <w:t>‰</w:t>
      </w:r>
      <w:r>
        <w:rPr>
          <w:rFonts w:hint="eastAsia" w:ascii="仿宋_GB2312" w:hAnsi="宋体"/>
          <w:b w:val="0"/>
          <w:bCs/>
          <w:color w:val="auto"/>
          <w:sz w:val="28"/>
          <w:szCs w:val="28"/>
        </w:rPr>
        <w:t>计算，违约金最高限额为违约总金额的</w:t>
      </w:r>
      <w:r>
        <w:rPr>
          <w:rFonts w:ascii="仿宋_GB2312" w:hAnsi="宋体"/>
          <w:b w:val="0"/>
          <w:bCs/>
          <w:color w:val="auto"/>
          <w:sz w:val="28"/>
          <w:szCs w:val="28"/>
        </w:rPr>
        <w:t>5%</w:t>
      </w:r>
      <w:r>
        <w:rPr>
          <w:rFonts w:hint="eastAsia" w:ascii="仿宋_GB2312" w:hAnsi="宋体" w:eastAsia="宋体" w:cs="Times New Roman"/>
          <w:color w:val="auto"/>
          <w:sz w:val="28"/>
          <w:szCs w:val="28"/>
          <w:highlight w:val="none"/>
        </w:rPr>
        <w:t>。</w:t>
      </w:r>
      <w:r>
        <w:rPr>
          <w:rFonts w:hint="eastAsia" w:ascii="仿宋_GB2312" w:hAnsi="宋体"/>
          <w:b w:val="0"/>
          <w:bCs/>
          <w:color w:val="auto"/>
          <w:sz w:val="28"/>
          <w:szCs w:val="28"/>
          <w:highlight w:val="none"/>
        </w:rPr>
        <w:t>如</w:t>
      </w:r>
      <w:r>
        <w:rPr>
          <w:rFonts w:hint="eastAsia" w:ascii="仿宋_GB2312" w:hAnsi="宋体"/>
          <w:b w:val="0"/>
          <w:bCs/>
          <w:color w:val="auto"/>
          <w:sz w:val="28"/>
          <w:szCs w:val="28"/>
        </w:rPr>
        <w:t>果达到违约金最高限额时仍不能交货，或交货时间影响需求方任务实施，甲方及需求方可以终止合同，而由此给甲方、需求方造成的实际损失，乙方应当给予足额赔偿。</w:t>
      </w:r>
    </w:p>
    <w:p>
      <w:pPr>
        <w:pageBreakBefore w:val="0"/>
        <w:widowControl w:val="0"/>
        <w:kinsoku/>
        <w:wordWrap/>
        <w:overflowPunct/>
        <w:topLinePunct w:val="0"/>
        <w:autoSpaceDE/>
        <w:autoSpaceDN/>
        <w:bidi w:val="0"/>
        <w:spacing w:line="560" w:lineRule="exact"/>
        <w:textAlignment w:val="auto"/>
        <w:rPr>
          <w:rFonts w:ascii="仿宋_GB2312" w:hAnsi="宋体"/>
          <w:b w:val="0"/>
          <w:bCs/>
          <w:color w:val="auto"/>
          <w:sz w:val="28"/>
          <w:szCs w:val="28"/>
        </w:rPr>
      </w:pPr>
      <w:r>
        <w:rPr>
          <w:rFonts w:ascii="仿宋_GB2312" w:hAnsi="宋体"/>
          <w:b w:val="0"/>
          <w:bCs/>
          <w:color w:val="auto"/>
          <w:sz w:val="28"/>
          <w:szCs w:val="28"/>
        </w:rPr>
        <w:t xml:space="preserve">    </w:t>
      </w:r>
      <w:r>
        <w:rPr>
          <w:rFonts w:hint="eastAsia" w:ascii="仿宋_GB2312" w:hAnsi="宋体"/>
          <w:b w:val="0"/>
          <w:bCs/>
          <w:color w:val="auto"/>
          <w:sz w:val="28"/>
          <w:szCs w:val="28"/>
        </w:rPr>
        <w:t>（二）乙方未按合同约定履行服务义务或产品技术性能指标不达标而给使用单位造成损失的，乙方要按损失金额予以赔偿。</w:t>
      </w:r>
    </w:p>
    <w:p>
      <w:pPr>
        <w:pageBreakBefore w:val="0"/>
        <w:widowControl w:val="0"/>
        <w:kinsoku/>
        <w:wordWrap/>
        <w:overflowPunct/>
        <w:topLinePunct w:val="0"/>
        <w:autoSpaceDE/>
        <w:autoSpaceDN/>
        <w:bidi w:val="0"/>
        <w:spacing w:line="560" w:lineRule="exact"/>
        <w:textAlignment w:val="auto"/>
        <w:rPr>
          <w:rFonts w:ascii="仿宋_GB2312" w:hAnsi="宋体"/>
          <w:b w:val="0"/>
          <w:bCs/>
          <w:color w:val="auto"/>
          <w:sz w:val="28"/>
          <w:szCs w:val="28"/>
        </w:rPr>
      </w:pPr>
      <w:r>
        <w:rPr>
          <w:rFonts w:ascii="仿宋_GB2312" w:hAnsi="宋体"/>
          <w:b w:val="0"/>
          <w:bCs/>
          <w:color w:val="auto"/>
          <w:sz w:val="28"/>
          <w:szCs w:val="28"/>
        </w:rPr>
        <w:t xml:space="preserve">    </w:t>
      </w:r>
      <w:r>
        <w:rPr>
          <w:rFonts w:hint="eastAsia" w:ascii="仿宋_GB2312" w:hAnsi="宋体"/>
          <w:b w:val="0"/>
          <w:bCs/>
          <w:color w:val="auto"/>
          <w:sz w:val="28"/>
          <w:szCs w:val="28"/>
        </w:rPr>
        <w:t>（三）甲方有义务协助需求方按约定及时足额支付货款，未按约定及时足额支付货款时，每迟付一天按违约金额</w:t>
      </w:r>
      <w:r>
        <w:rPr>
          <w:rFonts w:ascii="仿宋_GB2312" w:hAnsi="宋体"/>
          <w:b w:val="0"/>
          <w:bCs/>
          <w:color w:val="auto"/>
          <w:sz w:val="28"/>
          <w:szCs w:val="28"/>
        </w:rPr>
        <w:t>1</w:t>
      </w:r>
      <w:r>
        <w:rPr>
          <w:rFonts w:hint="eastAsia" w:ascii="仿宋_GB2312" w:hAnsi="宋体"/>
          <w:b w:val="0"/>
          <w:bCs/>
          <w:color w:val="auto"/>
          <w:sz w:val="28"/>
          <w:szCs w:val="28"/>
        </w:rPr>
        <w:t>‰向乙方偿付违约金，违约金最高限额为违约总金额的</w:t>
      </w:r>
      <w:r>
        <w:rPr>
          <w:rFonts w:ascii="仿宋_GB2312" w:hAnsi="宋体"/>
          <w:b w:val="0"/>
          <w:bCs/>
          <w:color w:val="auto"/>
          <w:sz w:val="28"/>
          <w:szCs w:val="28"/>
        </w:rPr>
        <w:t>5%</w:t>
      </w:r>
      <w:r>
        <w:rPr>
          <w:rFonts w:hint="eastAsia" w:ascii="仿宋_GB2312" w:hAnsi="宋体"/>
          <w:b w:val="0"/>
          <w:bCs/>
          <w:color w:val="auto"/>
          <w:sz w:val="28"/>
          <w:szCs w:val="28"/>
        </w:rPr>
        <w:t>。</w:t>
      </w:r>
    </w:p>
    <w:p>
      <w:pPr>
        <w:spacing w:line="520" w:lineRule="exact"/>
        <w:outlineLvl w:val="2"/>
        <w:rPr>
          <w:rFonts w:ascii="黑体" w:hAnsi="宋体" w:eastAsia="黑体" w:cs="Times New Roman"/>
          <w:sz w:val="28"/>
          <w:szCs w:val="28"/>
        </w:rPr>
      </w:pPr>
      <w:bookmarkStart w:id="755" w:name="_Toc439"/>
      <w:bookmarkStart w:id="756" w:name="_Toc14521"/>
      <w:r>
        <w:rPr>
          <w:rFonts w:hint="eastAsia" w:ascii="黑体" w:hAnsi="宋体" w:eastAsia="黑体" w:cs="Times New Roman"/>
          <w:sz w:val="28"/>
          <w:szCs w:val="28"/>
        </w:rPr>
        <w:t>十</w:t>
      </w:r>
      <w:r>
        <w:rPr>
          <w:rFonts w:hint="eastAsia" w:ascii="黑体" w:hAnsi="宋体" w:eastAsia="黑体" w:cs="Times New Roman"/>
          <w:sz w:val="28"/>
          <w:szCs w:val="28"/>
          <w:lang w:val="en-US" w:eastAsia="zh-CN"/>
        </w:rPr>
        <w:t>六</w:t>
      </w:r>
      <w:r>
        <w:rPr>
          <w:rFonts w:hint="eastAsia" w:ascii="黑体" w:hAnsi="宋体" w:eastAsia="黑体" w:cs="Times New Roman"/>
          <w:sz w:val="28"/>
          <w:szCs w:val="28"/>
        </w:rPr>
        <w:t>、争议解决方式</w:t>
      </w:r>
      <w:bookmarkEnd w:id="755"/>
      <w:bookmarkEnd w:id="756"/>
    </w:p>
    <w:p>
      <w:pPr>
        <w:spacing w:line="520" w:lineRule="exact"/>
        <w:ind w:firstLine="560" w:firstLineChars="200"/>
        <w:rPr>
          <w:rFonts w:hint="eastAsia" w:ascii="仿宋_GB2312" w:hAnsi="宋体" w:eastAsia="宋体" w:cs="Times New Roman"/>
          <w:sz w:val="28"/>
          <w:szCs w:val="28"/>
        </w:rPr>
      </w:pPr>
      <w:r>
        <w:rPr>
          <w:rFonts w:hint="eastAsia" w:ascii="仿宋_GB2312" w:hAnsi="宋体" w:eastAsia="宋体" w:cs="Times New Roman"/>
          <w:sz w:val="28"/>
          <w:szCs w:val="28"/>
        </w:rPr>
        <w:t>合同履行过程中，发生争议时，按照下列方式解决：</w:t>
      </w:r>
    </w:p>
    <w:p>
      <w:pPr>
        <w:spacing w:line="520" w:lineRule="exact"/>
        <w:ind w:firstLine="560" w:firstLineChars="200"/>
        <w:rPr>
          <w:rFonts w:hint="eastAsia" w:ascii="仿宋_GB2312" w:hAnsi="宋体" w:eastAsia="宋体" w:cs="Times New Roman"/>
          <w:sz w:val="28"/>
          <w:szCs w:val="28"/>
        </w:rPr>
      </w:pPr>
      <w:r>
        <w:rPr>
          <w:rFonts w:hint="eastAsia" w:ascii="仿宋_GB2312" w:hAnsi="宋体" w:eastAsia="宋体" w:cs="Times New Roman"/>
          <w:sz w:val="28"/>
          <w:szCs w:val="28"/>
        </w:rPr>
        <w:t>（一）甲方和乙方协商解决。</w:t>
      </w:r>
    </w:p>
    <w:p>
      <w:pPr>
        <w:spacing w:line="520" w:lineRule="exact"/>
        <w:ind w:firstLine="560" w:firstLineChars="200"/>
        <w:rPr>
          <w:rFonts w:hint="eastAsia" w:ascii="仿宋_GB2312" w:hAnsi="宋体" w:eastAsia="宋体" w:cs="Times New Roman"/>
          <w:sz w:val="28"/>
          <w:szCs w:val="28"/>
        </w:rPr>
      </w:pPr>
      <w:r>
        <w:rPr>
          <w:rFonts w:hint="eastAsia" w:ascii="仿宋_GB2312" w:hAnsi="宋体" w:eastAsia="宋体" w:cs="Times New Roman"/>
          <w:sz w:val="28"/>
          <w:szCs w:val="28"/>
        </w:rPr>
        <w:t>（二）协商不一致的，甲方或者乙方向</w:t>
      </w:r>
      <w:r>
        <w:rPr>
          <w:rFonts w:hint="eastAsia" w:ascii="仿宋_GB2312" w:hAnsi="宋体" w:eastAsia="宋体" w:cs="Times New Roman"/>
          <w:sz w:val="28"/>
          <w:szCs w:val="28"/>
          <w:u w:val="single"/>
        </w:rPr>
        <w:t xml:space="preserve"> </w:t>
      </w:r>
      <w:r>
        <w:rPr>
          <w:rFonts w:hint="eastAsia" w:ascii="仿宋_GB2312" w:hAnsi="宋体" w:eastAsia="宋体" w:cs="Times New Roman"/>
          <w:sz w:val="28"/>
          <w:szCs w:val="28"/>
          <w:u w:val="single"/>
          <w:lang w:val="en-US" w:eastAsia="zh-CN"/>
        </w:rPr>
        <w:t>采购人的</w:t>
      </w:r>
      <w:r>
        <w:rPr>
          <w:rFonts w:hint="eastAsia" w:ascii="仿宋_GB2312" w:hAnsi="宋体" w:eastAsia="宋体" w:cs="Times New Roman"/>
          <w:sz w:val="28"/>
          <w:szCs w:val="28"/>
          <w:u w:val="single"/>
          <w:lang w:eastAsia="zh-CN"/>
        </w:rPr>
        <w:t>物资采购中心</w:t>
      </w:r>
      <w:r>
        <w:rPr>
          <w:rFonts w:hint="eastAsia" w:ascii="仿宋_GB2312" w:hAnsi="宋体" w:eastAsia="宋体" w:cs="Times New Roman"/>
          <w:sz w:val="28"/>
          <w:szCs w:val="28"/>
          <w:u w:val="single"/>
        </w:rPr>
        <w:t xml:space="preserve"> </w:t>
      </w:r>
      <w:r>
        <w:rPr>
          <w:rFonts w:hint="eastAsia" w:ascii="仿宋_GB2312" w:hAnsi="宋体" w:eastAsia="宋体" w:cs="Times New Roman"/>
          <w:sz w:val="28"/>
          <w:szCs w:val="28"/>
        </w:rPr>
        <w:t>反映情况，请求第一次调解处理；第一次调解不成功的，向</w:t>
      </w:r>
      <w:r>
        <w:rPr>
          <w:rFonts w:ascii="仿宋_GB2312" w:hAnsi="宋体" w:eastAsia="宋体" w:cs="Times New Roman"/>
          <w:sz w:val="28"/>
          <w:szCs w:val="28"/>
          <w:u w:val="single"/>
        </w:rPr>
        <w:t xml:space="preserve"> </w:t>
      </w:r>
      <w:r>
        <w:rPr>
          <w:rFonts w:hint="eastAsia" w:ascii="仿宋_GB2312" w:hAnsi="宋体" w:eastAsia="宋体" w:cs="Times New Roman"/>
          <w:sz w:val="28"/>
          <w:szCs w:val="28"/>
          <w:u w:val="single"/>
          <w:lang w:eastAsia="zh-CN"/>
        </w:rPr>
        <w:t>采购人的采购管理部门</w:t>
      </w:r>
      <w:r>
        <w:rPr>
          <w:rFonts w:hint="eastAsia" w:ascii="仿宋_GB2312" w:hAnsi="宋体" w:eastAsia="宋体" w:cs="Times New Roman"/>
          <w:sz w:val="28"/>
          <w:szCs w:val="28"/>
        </w:rPr>
        <w:t>请求第二次调解处理。</w:t>
      </w:r>
    </w:p>
    <w:p>
      <w:pPr>
        <w:spacing w:line="520" w:lineRule="exact"/>
        <w:ind w:firstLine="560" w:firstLineChars="200"/>
        <w:rPr>
          <w:rFonts w:ascii="仿宋_GB2312" w:hAnsi="宋体" w:eastAsia="仿宋_GB2312" w:cs="Times New Roman"/>
          <w:sz w:val="28"/>
          <w:szCs w:val="28"/>
        </w:rPr>
      </w:pPr>
      <w:r>
        <w:rPr>
          <w:rFonts w:hint="eastAsia" w:ascii="仿宋_GB2312" w:hAnsi="宋体" w:eastAsia="宋体" w:cs="Times New Roman"/>
          <w:sz w:val="28"/>
          <w:szCs w:val="28"/>
        </w:rPr>
        <w:t>（三）调解不成功的，甲方或者乙方应向甲方所在地的仲裁机构申请仲裁，或者向甲方所在地的人民法院提起诉讼。仲裁费、诉讼费由承担责任的一方承担。在仲裁、诉讼期间，除正在仲裁、诉讼的部分外，合同的其他部分应继续执行。</w:t>
      </w:r>
    </w:p>
    <w:p>
      <w:pPr>
        <w:spacing w:line="520" w:lineRule="exact"/>
        <w:outlineLvl w:val="2"/>
        <w:rPr>
          <w:rFonts w:hint="eastAsia" w:ascii="黑体" w:hAnsi="宋体" w:eastAsia="黑体" w:cs="Times New Roman"/>
          <w:sz w:val="28"/>
          <w:szCs w:val="28"/>
        </w:rPr>
      </w:pPr>
      <w:bookmarkStart w:id="757" w:name="_Toc24793"/>
      <w:bookmarkStart w:id="758" w:name="_Toc26110"/>
      <w:bookmarkStart w:id="759" w:name="_Toc6336"/>
      <w:bookmarkStart w:id="760" w:name="_Toc5412"/>
      <w:r>
        <w:rPr>
          <w:rFonts w:hint="eastAsia" w:ascii="黑体" w:hAnsi="宋体" w:eastAsia="黑体" w:cs="Times New Roman"/>
          <w:sz w:val="28"/>
          <w:szCs w:val="28"/>
        </w:rPr>
        <w:t>十</w:t>
      </w:r>
      <w:r>
        <w:rPr>
          <w:rFonts w:hint="eastAsia" w:ascii="黑体" w:hAnsi="宋体" w:eastAsia="黑体" w:cs="Times New Roman"/>
          <w:sz w:val="28"/>
          <w:szCs w:val="28"/>
          <w:lang w:val="en-US" w:eastAsia="zh-CN"/>
        </w:rPr>
        <w:t>七</w:t>
      </w:r>
      <w:r>
        <w:rPr>
          <w:rFonts w:hint="eastAsia" w:ascii="黑体" w:hAnsi="宋体" w:eastAsia="黑体" w:cs="Times New Roman"/>
          <w:sz w:val="28"/>
          <w:szCs w:val="28"/>
        </w:rPr>
        <w:t>、其他约定事项</w:t>
      </w:r>
      <w:bookmarkEnd w:id="757"/>
      <w:bookmarkEnd w:id="758"/>
      <w:bookmarkEnd w:id="759"/>
      <w:bookmarkEnd w:id="760"/>
    </w:p>
    <w:p>
      <w:pPr>
        <w:spacing w:line="520" w:lineRule="exact"/>
        <w:rPr>
          <w:rFonts w:ascii="仿宋_GB2312" w:hAnsi="宋体" w:eastAsia="仿宋_GB2312" w:cs="Times New Roman"/>
          <w:sz w:val="28"/>
          <w:szCs w:val="28"/>
        </w:rPr>
      </w:pPr>
      <w:r>
        <w:rPr>
          <w:rFonts w:hint="eastAsia" w:ascii="仿宋_GB2312" w:hAnsi="宋体" w:eastAsia="宋体" w:cs="Times New Roman"/>
          <w:sz w:val="28"/>
          <w:szCs w:val="28"/>
        </w:rPr>
        <w:t xml:space="preserve"> </w:t>
      </w:r>
      <w:r>
        <w:rPr>
          <w:rFonts w:hint="eastAsia" w:ascii="仿宋_GB2312" w:hAnsi="宋体" w:cs="Times New Roman"/>
          <w:sz w:val="28"/>
          <w:szCs w:val="28"/>
          <w:lang w:val="en-US" w:eastAsia="zh-CN"/>
        </w:rPr>
        <w:t xml:space="preserve">   </w:t>
      </w:r>
      <w:r>
        <w:rPr>
          <w:rFonts w:hint="eastAsia" w:ascii="仿宋_GB2312" w:hAnsi="宋体" w:cs="Times New Roman"/>
          <w:sz w:val="28"/>
          <w:szCs w:val="28"/>
          <w:lang w:eastAsia="zh-CN"/>
        </w:rPr>
        <w:t>（</w:t>
      </w:r>
      <w:r>
        <w:rPr>
          <w:rFonts w:hint="eastAsia" w:ascii="仿宋_GB2312" w:hAnsi="宋体" w:cs="Times New Roman"/>
          <w:sz w:val="28"/>
          <w:szCs w:val="28"/>
          <w:lang w:val="en-US" w:eastAsia="zh-CN"/>
        </w:rPr>
        <w:t>一</w:t>
      </w:r>
      <w:r>
        <w:rPr>
          <w:rFonts w:hint="eastAsia" w:ascii="仿宋_GB2312" w:hAnsi="宋体" w:eastAsia="宋体" w:cs="Times New Roman"/>
          <w:sz w:val="28"/>
          <w:szCs w:val="28"/>
        </w:rPr>
        <w:t>）由于不可抗力因素影响合同履行时，未能履约的一方要在事发后</w:t>
      </w:r>
      <w:r>
        <w:rPr>
          <w:rFonts w:hint="eastAsia" w:ascii="仿宋_GB2312" w:hAnsi="宋体" w:eastAsia="宋体" w:cs="Times New Roman"/>
          <w:sz w:val="28"/>
          <w:szCs w:val="28"/>
          <w:u w:val="single"/>
        </w:rPr>
        <w:t xml:space="preserve"> </w:t>
      </w:r>
      <w:r>
        <w:rPr>
          <w:rFonts w:hint="eastAsia" w:ascii="仿宋_GB2312" w:hAnsi="宋体" w:eastAsia="宋体" w:cs="Times New Roman"/>
          <w:sz w:val="28"/>
          <w:szCs w:val="28"/>
          <w:u w:val="single"/>
          <w:lang w:val="en-US" w:eastAsia="zh-CN"/>
        </w:rPr>
        <w:t>36</w:t>
      </w:r>
      <w:r>
        <w:rPr>
          <w:rFonts w:hint="eastAsia" w:ascii="仿宋_GB2312" w:hAnsi="宋体" w:eastAsia="宋体" w:cs="Times New Roman"/>
          <w:sz w:val="28"/>
          <w:szCs w:val="28"/>
        </w:rPr>
        <w:t>小时内将情况通知对方，并在事发后</w:t>
      </w:r>
      <w:r>
        <w:rPr>
          <w:rFonts w:hint="eastAsia" w:ascii="仿宋_GB2312" w:hAnsi="宋体" w:eastAsia="宋体" w:cs="Times New Roman"/>
          <w:sz w:val="28"/>
          <w:szCs w:val="28"/>
          <w:u w:val="single"/>
        </w:rPr>
        <w:t xml:space="preserve"> </w:t>
      </w:r>
      <w:r>
        <w:rPr>
          <w:rFonts w:hint="eastAsia" w:ascii="仿宋_GB2312" w:hAnsi="宋体" w:eastAsia="宋体" w:cs="Times New Roman"/>
          <w:sz w:val="28"/>
          <w:szCs w:val="28"/>
          <w:u w:val="single"/>
          <w:lang w:val="en-US" w:eastAsia="zh-CN"/>
        </w:rPr>
        <w:t>14</w:t>
      </w:r>
      <w:r>
        <w:rPr>
          <w:rFonts w:hint="eastAsia" w:ascii="仿宋_GB2312" w:hAnsi="宋体" w:eastAsia="宋体" w:cs="Times New Roman"/>
          <w:sz w:val="28"/>
          <w:szCs w:val="28"/>
        </w:rPr>
        <w:t>日内向对方出具权威部门的证明文件。如果不可抗力影响持续</w:t>
      </w:r>
      <w:r>
        <w:rPr>
          <w:rFonts w:hint="eastAsia" w:ascii="仿宋_GB2312" w:hAnsi="宋体" w:eastAsia="宋体" w:cs="Times New Roman"/>
          <w:sz w:val="28"/>
          <w:szCs w:val="28"/>
          <w:u w:val="single"/>
          <w:lang w:val="en-US" w:eastAsia="zh-CN"/>
        </w:rPr>
        <w:t>120</w:t>
      </w:r>
      <w:r>
        <w:rPr>
          <w:rFonts w:hint="eastAsia" w:ascii="仿宋_GB2312" w:hAnsi="宋体" w:eastAsia="宋体" w:cs="Times New Roman"/>
          <w:sz w:val="28"/>
          <w:szCs w:val="28"/>
        </w:rPr>
        <w:t>日以上，甲乙双方可以重新商定合同履行问题。</w:t>
      </w:r>
    </w:p>
    <w:p>
      <w:pPr>
        <w:numPr>
          <w:ilvl w:val="0"/>
          <w:numId w:val="0"/>
        </w:numPr>
        <w:spacing w:line="520" w:lineRule="exact"/>
        <w:ind w:left="560" w:firstLine="0" w:firstLineChars="0"/>
        <w:rPr>
          <w:rFonts w:hint="eastAsia" w:ascii="仿宋_GB2312" w:hAnsi="宋体" w:eastAsia="宋体" w:cs="Times New Roman"/>
          <w:color w:val="auto"/>
          <w:sz w:val="28"/>
          <w:szCs w:val="28"/>
          <w:highlight w:val="none"/>
        </w:rPr>
      </w:pPr>
      <w:r>
        <w:rPr>
          <w:rFonts w:hint="eastAsia" w:ascii="仿宋_GB2312" w:hAnsi="宋体" w:eastAsia="宋体" w:cs="Times New Roman"/>
          <w:color w:val="auto"/>
          <w:sz w:val="28"/>
          <w:szCs w:val="28"/>
          <w:lang w:eastAsia="zh-CN"/>
        </w:rPr>
        <w:t>（</w:t>
      </w:r>
      <w:r>
        <w:rPr>
          <w:rFonts w:hint="eastAsia" w:ascii="仿宋_GB2312" w:hAnsi="宋体" w:cs="Times New Roman"/>
          <w:color w:val="auto"/>
          <w:sz w:val="28"/>
          <w:szCs w:val="28"/>
          <w:lang w:val="en-US" w:eastAsia="zh-CN"/>
        </w:rPr>
        <w:t>二</w:t>
      </w:r>
      <w:r>
        <w:rPr>
          <w:rFonts w:hint="eastAsia" w:ascii="仿宋_GB2312" w:hAnsi="宋体" w:eastAsia="宋体" w:cs="Times New Roman"/>
          <w:color w:val="auto"/>
          <w:sz w:val="28"/>
          <w:szCs w:val="28"/>
          <w:lang w:eastAsia="zh-CN"/>
        </w:rPr>
        <w:t>）</w:t>
      </w:r>
      <w:r>
        <w:rPr>
          <w:rFonts w:hint="eastAsia" w:ascii="仿宋_GB2312" w:hAnsi="宋体" w:eastAsia="宋体" w:cs="Times New Roman"/>
          <w:color w:val="auto"/>
          <w:sz w:val="28"/>
          <w:szCs w:val="28"/>
          <w:highlight w:val="none"/>
        </w:rPr>
        <w:t>未尽事宜，甲方、乙方协商解决。</w:t>
      </w:r>
    </w:p>
    <w:p>
      <w:pPr>
        <w:spacing w:line="520" w:lineRule="exact"/>
        <w:ind w:left="0" w:firstLine="560" w:firstLineChars="200"/>
        <w:jc w:val="left"/>
        <w:rPr>
          <w:rFonts w:hint="eastAsia" w:ascii="仿宋_GB2312" w:hAnsi="宋体" w:eastAsia="宋体" w:cs="Times New Roman"/>
          <w:snapToGrid/>
          <w:color w:val="auto"/>
          <w:sz w:val="28"/>
          <w:szCs w:val="28"/>
          <w:highlight w:val="none"/>
        </w:rPr>
      </w:pPr>
      <w:r>
        <w:rPr>
          <w:rFonts w:hint="eastAsia" w:ascii="仿宋_GB2312" w:hAnsi="宋体" w:eastAsia="宋体" w:cs="Times New Roman"/>
          <w:snapToGrid/>
          <w:color w:val="auto"/>
          <w:sz w:val="28"/>
          <w:szCs w:val="28"/>
          <w:highlight w:val="none"/>
          <w:lang w:val="en-US" w:eastAsia="zh-CN"/>
        </w:rPr>
        <w:t>（</w:t>
      </w:r>
      <w:r>
        <w:rPr>
          <w:rFonts w:hint="eastAsia" w:ascii="仿宋_GB2312" w:hAnsi="宋体" w:cs="Times New Roman"/>
          <w:snapToGrid/>
          <w:color w:val="auto"/>
          <w:sz w:val="28"/>
          <w:szCs w:val="28"/>
          <w:highlight w:val="none"/>
          <w:u w:val="single"/>
          <w:lang w:val="en-US" w:eastAsia="zh-CN"/>
        </w:rPr>
        <w:t>三</w:t>
      </w:r>
      <w:r>
        <w:rPr>
          <w:rFonts w:hint="eastAsia" w:ascii="仿宋_GB2312" w:hAnsi="宋体" w:eastAsia="宋体" w:cs="Times New Roman"/>
          <w:snapToGrid/>
          <w:color w:val="auto"/>
          <w:sz w:val="28"/>
          <w:szCs w:val="28"/>
          <w:highlight w:val="none"/>
          <w:lang w:val="en-US" w:eastAsia="zh-CN"/>
        </w:rPr>
        <w:t>）若本设备使用耗材（试剂）</w:t>
      </w:r>
      <w:r>
        <w:rPr>
          <w:rFonts w:hint="eastAsia" w:ascii="仿宋_GB2312" w:hAnsi="宋体" w:eastAsia="宋体" w:cs="Times New Roman"/>
          <w:snapToGrid/>
          <w:color w:val="auto"/>
          <w:sz w:val="28"/>
          <w:szCs w:val="28"/>
          <w:highlight w:val="none"/>
        </w:rPr>
        <w:t>必须符合医院耗材（试剂）引进相关规定，与本合同无关；该设备确需使用耗材（试剂）或更换配件，则耗材（耗材）或配件价格应按市场价格进行调整，但不得高于本合同约定价格，且保证稳定供货。</w:t>
      </w:r>
    </w:p>
    <w:p>
      <w:pPr>
        <w:spacing w:line="520" w:lineRule="exact"/>
        <w:ind w:firstLine="560" w:firstLineChars="200"/>
        <w:jc w:val="left"/>
        <w:rPr>
          <w:rFonts w:hint="eastAsia" w:ascii="仿宋_GB2312" w:hAnsi="宋体" w:eastAsia="宋体" w:cs="Times New Roman"/>
          <w:snapToGrid/>
          <w:color w:val="auto"/>
          <w:sz w:val="28"/>
          <w:szCs w:val="28"/>
          <w:highlight w:val="none"/>
          <w:lang w:val="en-US" w:eastAsia="zh-CN"/>
        </w:rPr>
      </w:pPr>
      <w:r>
        <w:rPr>
          <w:rFonts w:hint="eastAsia" w:ascii="仿宋_GB2312" w:hAnsi="宋体" w:eastAsia="宋体" w:cs="Times New Roman"/>
          <w:snapToGrid/>
          <w:color w:val="auto"/>
          <w:sz w:val="28"/>
          <w:szCs w:val="28"/>
          <w:highlight w:val="none"/>
          <w:lang w:val="en-US" w:eastAsia="zh-CN"/>
        </w:rPr>
        <w:t>（</w:t>
      </w:r>
      <w:r>
        <w:rPr>
          <w:rFonts w:hint="eastAsia" w:ascii="仿宋_GB2312" w:hAnsi="宋体" w:cs="Times New Roman"/>
          <w:snapToGrid/>
          <w:color w:val="auto"/>
          <w:sz w:val="28"/>
          <w:szCs w:val="28"/>
          <w:highlight w:val="none"/>
          <w:lang w:val="en-US" w:eastAsia="zh-CN"/>
        </w:rPr>
        <w:t>四</w:t>
      </w:r>
      <w:r>
        <w:rPr>
          <w:rFonts w:hint="eastAsia" w:ascii="仿宋_GB2312" w:hAnsi="宋体" w:eastAsia="宋体" w:cs="Times New Roman"/>
          <w:snapToGrid/>
          <w:color w:val="auto"/>
          <w:sz w:val="28"/>
          <w:szCs w:val="28"/>
          <w:highlight w:val="none"/>
          <w:lang w:val="en-US" w:eastAsia="zh-CN"/>
        </w:rPr>
        <w:t>）</w:t>
      </w:r>
      <w:r>
        <w:rPr>
          <w:rFonts w:hint="eastAsia" w:ascii="仿宋_GB2312" w:hAnsi="宋体" w:eastAsia="宋体" w:cs="Times New Roman"/>
          <w:snapToGrid/>
          <w:color w:val="auto"/>
          <w:sz w:val="28"/>
          <w:szCs w:val="28"/>
          <w:highlight w:val="none"/>
          <w:lang w:eastAsia="zh-CN"/>
        </w:rPr>
        <w:t>若乙方不遵从上述第（三）条约定而导致相应试剂（耗材）无法顺利引进的，乙方应按设备</w:t>
      </w:r>
      <w:r>
        <w:rPr>
          <w:rFonts w:hint="eastAsia" w:ascii="仿宋_GB2312" w:hAnsi="宋体" w:eastAsia="宋体" w:cs="Times New Roman"/>
          <w:snapToGrid/>
          <w:color w:val="auto"/>
          <w:sz w:val="28"/>
          <w:szCs w:val="28"/>
          <w:highlight w:val="none"/>
          <w:lang w:val="en-US" w:eastAsia="zh-CN"/>
        </w:rPr>
        <w:t>5年折旧计算设备剩余价值，并在试剂（耗材）停供一个月之内，按设备折旧剩余价值的2倍向甲方一次性支付赔偿款。</w:t>
      </w:r>
    </w:p>
    <w:p>
      <w:pPr>
        <w:adjustRightInd/>
        <w:snapToGrid/>
        <w:spacing w:line="520" w:lineRule="exact"/>
        <w:ind w:firstLine="560" w:firstLineChars="200"/>
        <w:jc w:val="left"/>
        <w:rPr>
          <w:rFonts w:hint="eastAsia" w:ascii="仿宋_GB2312" w:hAnsi="宋体" w:eastAsia="宋体" w:cs="Times New Roman"/>
          <w:snapToGrid/>
          <w:sz w:val="28"/>
          <w:szCs w:val="28"/>
          <w:highlight w:val="none"/>
        </w:rPr>
      </w:pPr>
      <w:r>
        <w:rPr>
          <w:rFonts w:hint="eastAsia" w:ascii="仿宋_GB2312" w:hAnsi="宋体" w:eastAsia="宋体" w:cs="Times New Roman"/>
          <w:snapToGrid/>
          <w:color w:val="auto"/>
          <w:sz w:val="28"/>
          <w:szCs w:val="28"/>
          <w:highlight w:val="none"/>
          <w:lang w:val="en-US" w:eastAsia="zh-CN"/>
        </w:rPr>
        <w:t>（</w:t>
      </w:r>
      <w:r>
        <w:rPr>
          <w:rFonts w:hint="eastAsia" w:ascii="仿宋_GB2312" w:hAnsi="宋体" w:cs="Times New Roman"/>
          <w:snapToGrid/>
          <w:color w:val="auto"/>
          <w:sz w:val="28"/>
          <w:szCs w:val="28"/>
          <w:highlight w:val="none"/>
          <w:lang w:val="en-US" w:eastAsia="zh-CN"/>
        </w:rPr>
        <w:t>五</w:t>
      </w:r>
      <w:r>
        <w:rPr>
          <w:rFonts w:hint="eastAsia" w:ascii="仿宋_GB2312" w:hAnsi="宋体" w:eastAsia="宋体" w:cs="Times New Roman"/>
          <w:snapToGrid/>
          <w:color w:val="auto"/>
          <w:sz w:val="28"/>
          <w:szCs w:val="28"/>
          <w:highlight w:val="none"/>
          <w:lang w:val="en-US" w:eastAsia="zh-CN"/>
        </w:rPr>
        <w:t>）</w:t>
      </w:r>
      <w:r>
        <w:rPr>
          <w:rFonts w:hint="eastAsia" w:ascii="仿宋_GB2312" w:hAnsi="宋体" w:eastAsia="宋体" w:cs="Times New Roman"/>
          <w:snapToGrid/>
          <w:color w:val="auto"/>
          <w:sz w:val="28"/>
          <w:szCs w:val="28"/>
          <w:highlight w:val="none"/>
        </w:rPr>
        <w:t>鉴于签订合同时，乙方</w:t>
      </w:r>
      <w:r>
        <w:rPr>
          <w:rFonts w:hint="eastAsia" w:ascii="仿宋_GB2312" w:hAnsi="宋体" w:eastAsia="宋体" w:cs="Times New Roman"/>
          <w:snapToGrid/>
          <w:sz w:val="28"/>
          <w:szCs w:val="28"/>
          <w:highlight w:val="none"/>
        </w:rPr>
        <w:t>明确知悉甲方系军队系统，考虑到甲方特殊性，双方经充分协商并同意：当国家、中央军委、军队系统内部或甲方上级单位出具新的政策、规定、文件等（下统称“新规”），甲方有权按照新规内容即时执行，对此，乙方同意并接受上述新规内容，甲方有权按照新规内容调整或修订本合同涉及相关条款并书面通知（包括书面、电邮、电话等）乙方，乙方自收到通知之日起应当严格执行甲方通知内容，乙方不得拒绝履行通知内容。</w:t>
      </w:r>
    </w:p>
    <w:p>
      <w:pPr>
        <w:adjustRightInd/>
        <w:snapToGrid/>
        <w:spacing w:line="520" w:lineRule="exact"/>
        <w:ind w:firstLine="560" w:firstLineChars="200"/>
        <w:jc w:val="left"/>
        <w:rPr>
          <w:rFonts w:hint="eastAsia" w:ascii="仿宋_GB2312" w:hAnsi="宋体" w:eastAsia="宋体" w:cs="Times New Roman"/>
          <w:snapToGrid/>
          <w:sz w:val="28"/>
          <w:szCs w:val="28"/>
          <w:highlight w:val="none"/>
          <w:lang w:eastAsia="zh-CN"/>
        </w:rPr>
      </w:pPr>
      <w:r>
        <w:rPr>
          <w:rFonts w:hint="eastAsia" w:ascii="仿宋_GB2312" w:hAnsi="宋体" w:eastAsia="宋体" w:cs="Times New Roman"/>
          <w:snapToGrid/>
          <w:sz w:val="28"/>
          <w:szCs w:val="28"/>
          <w:highlight w:val="none"/>
        </w:rPr>
        <w:t>（</w:t>
      </w:r>
      <w:r>
        <w:rPr>
          <w:rFonts w:hint="eastAsia" w:ascii="仿宋_GB2312" w:hAnsi="宋体" w:eastAsia="宋体" w:cs="Times New Roman"/>
          <w:snapToGrid/>
          <w:sz w:val="28"/>
          <w:szCs w:val="28"/>
          <w:highlight w:val="none"/>
          <w:lang w:val="en-US" w:eastAsia="zh-CN"/>
        </w:rPr>
        <w:t>六</w:t>
      </w:r>
      <w:r>
        <w:rPr>
          <w:rFonts w:hint="eastAsia" w:ascii="仿宋_GB2312" w:hAnsi="宋体" w:eastAsia="宋体" w:cs="Times New Roman"/>
          <w:snapToGrid/>
          <w:sz w:val="28"/>
          <w:szCs w:val="28"/>
          <w:highlight w:val="none"/>
        </w:rPr>
        <w:t>）</w:t>
      </w:r>
      <w:r>
        <w:rPr>
          <w:rFonts w:hint="eastAsia" w:ascii="仿宋_GB2312" w:hAnsi="宋体" w:eastAsia="宋体" w:cs="Times New Roman"/>
          <w:snapToGrid/>
          <w:sz w:val="28"/>
          <w:szCs w:val="28"/>
          <w:highlight w:val="none"/>
          <w:lang w:val="en-US" w:eastAsia="zh-CN"/>
        </w:rPr>
        <w:t>甲方</w:t>
      </w:r>
      <w:r>
        <w:rPr>
          <w:rFonts w:hint="eastAsia" w:ascii="仿宋_GB2312" w:hAnsi="宋体" w:eastAsia="宋体" w:cs="Times New Roman"/>
          <w:snapToGrid/>
          <w:sz w:val="28"/>
          <w:szCs w:val="28"/>
          <w:highlight w:val="none"/>
        </w:rPr>
        <w:t>可追加按规定产品采购数量，采购价格、服务保障等事宜以此合同为准</w:t>
      </w:r>
      <w:r>
        <w:rPr>
          <w:rFonts w:hint="eastAsia" w:ascii="仿宋_GB2312" w:hAnsi="宋体" w:eastAsia="宋体" w:cs="Times New Roman"/>
          <w:snapToGrid/>
          <w:sz w:val="28"/>
          <w:szCs w:val="28"/>
          <w:highlight w:val="none"/>
          <w:lang w:eastAsia="zh-CN"/>
        </w:rPr>
        <w:t>。</w:t>
      </w:r>
    </w:p>
    <w:p>
      <w:pPr>
        <w:adjustRightInd/>
        <w:snapToGrid/>
        <w:spacing w:line="520" w:lineRule="exact"/>
        <w:ind w:firstLine="560" w:firstLineChars="200"/>
        <w:jc w:val="left"/>
        <w:rPr>
          <w:rFonts w:hint="eastAsia" w:ascii="仿宋_GB2312" w:hAnsi="宋体" w:eastAsia="宋体" w:cs="Times New Roman"/>
          <w:snapToGrid/>
          <w:sz w:val="28"/>
          <w:szCs w:val="28"/>
          <w:highlight w:val="none"/>
          <w:lang w:val="en-US" w:eastAsia="zh-CN"/>
        </w:rPr>
      </w:pPr>
      <w:r>
        <w:rPr>
          <w:rFonts w:hint="eastAsia" w:ascii="仿宋_GB2312" w:hAnsi="宋体" w:eastAsia="宋体" w:cs="Times New Roman"/>
          <w:snapToGrid/>
          <w:sz w:val="28"/>
          <w:szCs w:val="28"/>
          <w:highlight w:val="none"/>
          <w:lang w:val="en-US" w:eastAsia="zh-CN"/>
        </w:rPr>
        <w:t>（七）当国家、中央军委、军队系统内部或甲方上级单位出具新的政策、规定、文件等（下统称“新规”），甲方有权按照新规内容即时执行，对此，乙方同意并接受上述新规内容，甲方有权按照新规内容调整或修订本合同涉及相关条款并书面通知（包括书面、电邮、电话等）乙方，乙方自收到通知之日起应当严格执行甲方通知内容，乙方不得拒绝履行通知内容。</w:t>
      </w:r>
    </w:p>
    <w:p>
      <w:pPr>
        <w:spacing w:line="520" w:lineRule="exact"/>
        <w:outlineLvl w:val="2"/>
        <w:rPr>
          <w:rFonts w:hint="eastAsia" w:ascii="黑体" w:hAnsi="宋体" w:eastAsia="黑体" w:cs="Times New Roman"/>
          <w:sz w:val="28"/>
          <w:szCs w:val="28"/>
        </w:rPr>
      </w:pPr>
      <w:bookmarkStart w:id="761" w:name="_Toc6322"/>
      <w:bookmarkStart w:id="762" w:name="_Toc26893"/>
      <w:bookmarkStart w:id="763" w:name="_Toc7447"/>
      <w:bookmarkStart w:id="764" w:name="_Toc14100"/>
      <w:r>
        <w:rPr>
          <w:rFonts w:hint="eastAsia" w:ascii="黑体" w:hAnsi="宋体" w:eastAsia="黑体" w:cs="Times New Roman"/>
          <w:sz w:val="28"/>
          <w:szCs w:val="28"/>
        </w:rPr>
        <w:t>十</w:t>
      </w:r>
      <w:r>
        <w:rPr>
          <w:rFonts w:hint="eastAsia" w:ascii="黑体" w:hAnsi="宋体" w:eastAsia="黑体" w:cs="Times New Roman"/>
          <w:sz w:val="28"/>
          <w:szCs w:val="28"/>
          <w:lang w:val="en-US" w:eastAsia="zh-CN"/>
        </w:rPr>
        <w:t>八</w:t>
      </w:r>
      <w:r>
        <w:rPr>
          <w:rFonts w:hint="eastAsia" w:ascii="黑体" w:hAnsi="宋体" w:eastAsia="黑体" w:cs="Times New Roman"/>
          <w:sz w:val="28"/>
          <w:szCs w:val="28"/>
        </w:rPr>
        <w:t>、合同生效</w:t>
      </w:r>
      <w:bookmarkEnd w:id="761"/>
      <w:bookmarkEnd w:id="762"/>
      <w:bookmarkEnd w:id="763"/>
      <w:bookmarkEnd w:id="764"/>
    </w:p>
    <w:p>
      <w:pPr>
        <w:spacing w:line="520" w:lineRule="exact"/>
        <w:ind w:firstLine="560" w:firstLineChars="200"/>
        <w:rPr>
          <w:rFonts w:ascii="仿宋_GB2312" w:hAnsi="宋体" w:eastAsia="仿宋_GB2312" w:cs="Times New Roman"/>
          <w:sz w:val="28"/>
          <w:szCs w:val="28"/>
        </w:rPr>
      </w:pPr>
      <w:r>
        <w:rPr>
          <w:rFonts w:hint="eastAsia" w:ascii="仿宋_GB2312" w:hAnsi="宋体" w:eastAsia="宋体" w:cs="Times New Roman"/>
          <w:sz w:val="28"/>
          <w:szCs w:val="28"/>
        </w:rPr>
        <w:t>（一）本合同按照军队采购有关规定编号后，经甲方、乙方共同签署，并加盖单位印章后生效。未经甲方允许，乙方不得部分或全部转让其应履行的合同义务，不得在合同未生效前履行合同相关义务。</w:t>
      </w:r>
    </w:p>
    <w:p>
      <w:pPr>
        <w:spacing w:line="520" w:lineRule="exact"/>
        <w:ind w:firstLine="548" w:firstLineChars="196"/>
        <w:rPr>
          <w:rFonts w:ascii="仿宋_GB2312" w:hAnsi="宋体" w:eastAsia="宋体" w:cs="Times New Roman"/>
          <w:sz w:val="28"/>
          <w:szCs w:val="28"/>
        </w:rPr>
      </w:pPr>
      <w:r>
        <w:rPr>
          <w:rFonts w:hint="eastAsia" w:ascii="仿宋_GB2312" w:hAnsi="宋体" w:eastAsia="宋体" w:cs="Times New Roman"/>
          <w:sz w:val="28"/>
          <w:szCs w:val="28"/>
        </w:rPr>
        <w:t>（二）本合同一式</w:t>
      </w:r>
      <w:r>
        <w:rPr>
          <w:rFonts w:hint="eastAsia" w:ascii="仿宋_GB2312" w:hAnsi="宋体" w:eastAsia="宋体" w:cs="Times New Roman"/>
          <w:sz w:val="28"/>
          <w:szCs w:val="28"/>
          <w:u w:val="single"/>
        </w:rPr>
        <w:t xml:space="preserve"> </w:t>
      </w:r>
      <w:r>
        <w:rPr>
          <w:rFonts w:ascii="仿宋_GB2312" w:hAnsi="宋体" w:eastAsia="宋体" w:cs="Times New Roman"/>
          <w:sz w:val="28"/>
          <w:szCs w:val="28"/>
          <w:u w:val="single"/>
        </w:rPr>
        <w:t xml:space="preserve"> </w:t>
      </w:r>
      <w:r>
        <w:rPr>
          <w:rFonts w:hint="eastAsia" w:ascii="仿宋_GB2312" w:hAnsi="宋体" w:eastAsia="宋体" w:cs="Times New Roman"/>
          <w:sz w:val="28"/>
          <w:szCs w:val="28"/>
          <w:u w:val="single"/>
        </w:rPr>
        <w:t xml:space="preserve"> </w:t>
      </w:r>
      <w:r>
        <w:rPr>
          <w:rFonts w:hint="eastAsia" w:ascii="仿宋_GB2312" w:hAnsi="宋体" w:eastAsia="宋体" w:cs="Times New Roman"/>
          <w:sz w:val="28"/>
          <w:szCs w:val="28"/>
        </w:rPr>
        <w:t>份，甲</w:t>
      </w:r>
      <w:r>
        <w:rPr>
          <w:rFonts w:hint="eastAsia" w:ascii="仿宋_GB2312" w:hAnsi="宋体" w:eastAsia="宋体" w:cs="Times New Roman"/>
          <w:sz w:val="28"/>
          <w:szCs w:val="28"/>
          <w:lang w:eastAsia="zh-CN"/>
        </w:rPr>
        <w:t>方</w:t>
      </w:r>
      <w:r>
        <w:rPr>
          <w:rFonts w:hint="eastAsia" w:ascii="仿宋_GB2312" w:hAnsi="宋体" w:eastAsia="宋体" w:cs="Times New Roman"/>
          <w:sz w:val="28"/>
          <w:szCs w:val="28"/>
          <w:u w:val="single"/>
          <w:lang w:val="en-US" w:eastAsia="zh-CN"/>
        </w:rPr>
        <w:t xml:space="preserve">  </w:t>
      </w:r>
      <w:r>
        <w:rPr>
          <w:rFonts w:hint="eastAsia" w:ascii="仿宋_GB2312" w:hAnsi="宋体" w:eastAsia="宋体" w:cs="Times New Roman"/>
          <w:sz w:val="28"/>
          <w:szCs w:val="28"/>
          <w:u w:val="none"/>
          <w:lang w:val="en-US" w:eastAsia="zh-CN"/>
        </w:rPr>
        <w:t>份，乙方壹份，</w:t>
      </w:r>
      <w:r>
        <w:rPr>
          <w:rFonts w:hint="eastAsia" w:ascii="仿宋_GB2312" w:hAnsi="宋体" w:eastAsia="宋体" w:cs="Times New Roman"/>
          <w:sz w:val="28"/>
          <w:szCs w:val="28"/>
        </w:rPr>
        <w:t>具有同等法律效力。</w:t>
      </w:r>
    </w:p>
    <w:p>
      <w:pPr>
        <w:spacing w:line="520" w:lineRule="exact"/>
        <w:outlineLvl w:val="2"/>
        <w:rPr>
          <w:rFonts w:hint="eastAsia" w:ascii="黑体" w:hAnsi="宋体" w:eastAsia="黑体" w:cs="Times New Roman"/>
          <w:sz w:val="28"/>
          <w:szCs w:val="28"/>
        </w:rPr>
      </w:pPr>
      <w:bookmarkStart w:id="765" w:name="_Toc8213"/>
      <w:bookmarkStart w:id="766" w:name="_Toc5610"/>
      <w:bookmarkStart w:id="767" w:name="_Toc32385"/>
      <w:bookmarkStart w:id="768" w:name="_Toc7563"/>
      <w:bookmarkStart w:id="769" w:name="_Toc83738992"/>
      <w:r>
        <w:rPr>
          <w:rFonts w:hint="eastAsia" w:ascii="黑体" w:hAnsi="宋体" w:eastAsia="黑体" w:cs="Times New Roman"/>
          <w:sz w:val="28"/>
          <w:szCs w:val="28"/>
        </w:rPr>
        <w:t>十</w:t>
      </w:r>
      <w:r>
        <w:rPr>
          <w:rFonts w:hint="eastAsia" w:ascii="黑体" w:hAnsi="宋体" w:eastAsia="黑体" w:cs="Times New Roman"/>
          <w:sz w:val="28"/>
          <w:szCs w:val="28"/>
          <w:lang w:val="en-US" w:eastAsia="zh-CN"/>
        </w:rPr>
        <w:t>九</w:t>
      </w:r>
      <w:r>
        <w:rPr>
          <w:rFonts w:hint="eastAsia" w:ascii="黑体" w:hAnsi="宋体" w:eastAsia="黑体" w:cs="Times New Roman"/>
          <w:sz w:val="28"/>
          <w:szCs w:val="28"/>
        </w:rPr>
        <w:t>、合同附件</w:t>
      </w:r>
      <w:bookmarkEnd w:id="765"/>
      <w:bookmarkEnd w:id="766"/>
      <w:bookmarkEnd w:id="767"/>
      <w:bookmarkEnd w:id="768"/>
      <w:bookmarkEnd w:id="769"/>
    </w:p>
    <w:p>
      <w:pPr>
        <w:spacing w:line="520" w:lineRule="exact"/>
        <w:ind w:firstLine="548" w:firstLineChars="196"/>
        <w:rPr>
          <w:rFonts w:hint="eastAsia" w:ascii="仿宋_GB2312" w:hAnsi="Times New Roman" w:eastAsia="宋体" w:cs="Times New Roman"/>
          <w:sz w:val="28"/>
          <w:szCs w:val="28"/>
          <w:lang w:eastAsia="zh-CN"/>
        </w:rPr>
      </w:pPr>
      <w:r>
        <w:rPr>
          <w:rFonts w:hint="eastAsia" w:ascii="仿宋_GB2312" w:hAnsi="Times New Roman" w:eastAsia="宋体" w:cs="Times New Roman"/>
          <w:sz w:val="28"/>
          <w:szCs w:val="28"/>
        </w:rPr>
        <w:t>（一）</w:t>
      </w:r>
      <w:r>
        <w:rPr>
          <w:rFonts w:hint="eastAsia" w:ascii="仿宋_GB2312" w:hAnsi="Times New Roman" w:eastAsia="宋体" w:cs="Times New Roman"/>
          <w:sz w:val="28"/>
          <w:szCs w:val="28"/>
          <w:lang w:eastAsia="zh-CN"/>
        </w:rPr>
        <w:t>分项报价表</w:t>
      </w:r>
    </w:p>
    <w:p>
      <w:pPr>
        <w:spacing w:line="520" w:lineRule="exact"/>
        <w:ind w:firstLine="548" w:firstLineChars="196"/>
        <w:rPr>
          <w:rFonts w:ascii="仿宋_GB2312" w:hAnsi="Times New Roman" w:eastAsia="宋体" w:cs="Times New Roman"/>
          <w:sz w:val="28"/>
          <w:szCs w:val="28"/>
        </w:rPr>
      </w:pPr>
      <w:r>
        <w:rPr>
          <w:rFonts w:hint="eastAsia" w:ascii="仿宋_GB2312" w:hAnsi="Times New Roman" w:eastAsia="宋体" w:cs="Times New Roman"/>
          <w:sz w:val="28"/>
          <w:szCs w:val="28"/>
        </w:rPr>
        <w:t>（二）主要产品技术性能参数表</w:t>
      </w:r>
    </w:p>
    <w:p>
      <w:pPr>
        <w:spacing w:line="520" w:lineRule="exact"/>
        <w:ind w:firstLine="548" w:firstLineChars="196"/>
        <w:rPr>
          <w:rFonts w:ascii="仿宋_GB2312" w:hAnsi="Times New Roman" w:eastAsia="宋体" w:cs="Times New Roman"/>
          <w:sz w:val="28"/>
          <w:szCs w:val="28"/>
        </w:rPr>
      </w:pPr>
      <w:r>
        <w:rPr>
          <w:rFonts w:hint="eastAsia" w:ascii="仿宋_GB2312" w:hAnsi="Times New Roman" w:eastAsia="宋体" w:cs="Times New Roman"/>
          <w:sz w:val="28"/>
          <w:szCs w:val="28"/>
        </w:rPr>
        <w:t>（三）交货清单</w:t>
      </w:r>
    </w:p>
    <w:p>
      <w:pPr>
        <w:spacing w:line="520" w:lineRule="exact"/>
        <w:ind w:firstLine="548" w:firstLineChars="196"/>
        <w:rPr>
          <w:rFonts w:ascii="仿宋_GB2312" w:hAnsi="Times New Roman" w:eastAsia="宋体" w:cs="Times New Roman"/>
          <w:sz w:val="28"/>
          <w:szCs w:val="28"/>
        </w:rPr>
      </w:pPr>
      <w:r>
        <w:rPr>
          <w:rFonts w:hint="eastAsia" w:ascii="仿宋_GB2312" w:hAnsi="Times New Roman" w:eastAsia="宋体" w:cs="Times New Roman"/>
          <w:sz w:val="28"/>
          <w:szCs w:val="28"/>
        </w:rPr>
        <w:t>（四）易损易耗件清单</w:t>
      </w:r>
    </w:p>
    <w:p>
      <w:pPr>
        <w:spacing w:line="520" w:lineRule="exact"/>
        <w:ind w:firstLine="548" w:firstLineChars="196"/>
        <w:rPr>
          <w:rFonts w:hint="eastAsia" w:ascii="仿宋_GB2312" w:hAnsi="Times New Roman" w:eastAsia="宋体" w:cs="Times New Roman"/>
          <w:sz w:val="28"/>
          <w:szCs w:val="28"/>
        </w:rPr>
      </w:pPr>
      <w:r>
        <w:rPr>
          <w:rFonts w:hint="eastAsia" w:ascii="仿宋_GB2312" w:hAnsi="Times New Roman" w:eastAsia="宋体" w:cs="Times New Roman"/>
          <w:sz w:val="28"/>
          <w:szCs w:val="28"/>
        </w:rPr>
        <w:t>（五）售后服务承诺</w:t>
      </w:r>
    </w:p>
    <w:p>
      <w:pPr>
        <w:spacing w:line="520" w:lineRule="exact"/>
        <w:ind w:firstLine="548" w:firstLineChars="196"/>
        <w:rPr>
          <w:rFonts w:hint="eastAsia" w:ascii="仿宋_GB2312" w:hAnsi="Times New Roman" w:eastAsia="宋体" w:cs="Times New Roman"/>
          <w:sz w:val="28"/>
          <w:szCs w:val="28"/>
          <w:lang w:val="zh-CN"/>
        </w:rPr>
      </w:pPr>
      <w:r>
        <w:rPr>
          <w:rFonts w:hint="eastAsia" w:ascii="仿宋_GB2312" w:hAnsi="Times New Roman" w:eastAsia="宋体" w:cs="Times New Roman"/>
          <w:sz w:val="28"/>
          <w:szCs w:val="28"/>
        </w:rPr>
        <w:t>（六）</w:t>
      </w:r>
      <w:r>
        <w:rPr>
          <w:rFonts w:hint="eastAsia" w:ascii="仿宋_GB2312" w:hAnsi="Times New Roman" w:eastAsia="宋体" w:cs="Times New Roman"/>
          <w:sz w:val="28"/>
          <w:szCs w:val="28"/>
          <w:lang w:val="zh-CN"/>
        </w:rPr>
        <w:t>供应商承诺及书面声明</w:t>
      </w:r>
    </w:p>
    <w:p>
      <w:pPr>
        <w:pStyle w:val="17"/>
        <w:rPr>
          <w:rFonts w:hint="default" w:eastAsia="宋体"/>
          <w:lang w:val="en-US" w:eastAsia="zh-CN"/>
        </w:rPr>
      </w:pPr>
      <w:r>
        <w:rPr>
          <w:rFonts w:hint="eastAsia" w:ascii="仿宋_GB2312" w:cs="Times New Roman"/>
          <w:sz w:val="28"/>
          <w:szCs w:val="28"/>
          <w:lang w:val="en-US" w:eastAsia="zh-CN"/>
        </w:rPr>
        <w:t xml:space="preserve"> （七）厂家授权书</w:t>
      </w:r>
    </w:p>
    <w:p>
      <w:pPr>
        <w:spacing w:line="520" w:lineRule="exact"/>
        <w:ind w:firstLine="548" w:firstLineChars="196"/>
        <w:rPr>
          <w:rFonts w:hint="eastAsia" w:ascii="仿宋_GB2312" w:hAnsi="Times New Roman" w:eastAsia="宋体" w:cs="Times New Roman"/>
          <w:sz w:val="28"/>
          <w:szCs w:val="28"/>
        </w:rPr>
      </w:pPr>
      <w:r>
        <w:rPr>
          <w:rFonts w:hint="eastAsia" w:ascii="仿宋_GB2312" w:hAnsi="Times New Roman" w:eastAsia="宋体" w:cs="Times New Roman"/>
          <w:sz w:val="28"/>
          <w:szCs w:val="28"/>
        </w:rPr>
        <w:t>注释：本合同样本中的条款仅作为双方签订合同的参考，为阐明各方的权利和义务，经协商可增加新的条款。但不得与</w:t>
      </w:r>
      <w:r>
        <w:rPr>
          <w:rFonts w:hint="eastAsia" w:ascii="仿宋_GB2312" w:cs="Times New Roman"/>
          <w:sz w:val="28"/>
          <w:szCs w:val="28"/>
          <w:lang w:eastAsia="zh-CN"/>
        </w:rPr>
        <w:t>谈判</w:t>
      </w:r>
      <w:r>
        <w:rPr>
          <w:rFonts w:hint="eastAsia" w:ascii="仿宋_GB2312" w:hAnsi="Times New Roman" w:eastAsia="宋体" w:cs="Times New Roman"/>
          <w:sz w:val="28"/>
          <w:szCs w:val="28"/>
        </w:rPr>
        <w:t>文件、</w:t>
      </w:r>
      <w:r>
        <w:rPr>
          <w:rFonts w:hint="eastAsia" w:ascii="仿宋_GB2312" w:cs="Times New Roman"/>
          <w:sz w:val="28"/>
          <w:szCs w:val="28"/>
          <w:lang w:eastAsia="zh-CN"/>
        </w:rPr>
        <w:t>成交</w:t>
      </w:r>
      <w:r>
        <w:rPr>
          <w:rFonts w:hint="eastAsia" w:ascii="仿宋_GB2312" w:hAnsi="Times New Roman" w:eastAsia="宋体" w:cs="Times New Roman"/>
          <w:sz w:val="28"/>
          <w:szCs w:val="28"/>
        </w:rPr>
        <w:t>供应商</w:t>
      </w:r>
      <w:r>
        <w:rPr>
          <w:rFonts w:hint="eastAsia" w:ascii="仿宋_GB2312" w:cs="Times New Roman"/>
          <w:sz w:val="28"/>
          <w:szCs w:val="28"/>
          <w:lang w:eastAsia="zh-CN"/>
        </w:rPr>
        <w:t>报价</w:t>
      </w:r>
      <w:r>
        <w:rPr>
          <w:rFonts w:hint="eastAsia" w:ascii="仿宋_GB2312" w:hAnsi="Times New Roman" w:eastAsia="宋体" w:cs="Times New Roman"/>
          <w:sz w:val="28"/>
          <w:szCs w:val="28"/>
        </w:rPr>
        <w:t>文件的实质性内容相背离。</w:t>
      </w:r>
    </w:p>
    <w:p>
      <w:pPr>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b w:val="0"/>
          <w:bCs/>
          <w:sz w:val="28"/>
          <w:szCs w:val="28"/>
        </w:rPr>
      </w:pPr>
    </w:p>
    <w:bookmarkEnd w:id="715"/>
    <w:bookmarkEnd w:id="716"/>
    <w:p>
      <w:pPr>
        <w:pStyle w:val="3"/>
        <w:keepNext/>
        <w:keepLines/>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outlineLvl w:val="1"/>
        <w:rPr>
          <w:rFonts w:hint="default" w:ascii="Times New Roman" w:hAnsi="Times New Roman" w:eastAsia="宋体" w:cs="Times New Roman"/>
          <w:b w:val="0"/>
          <w:bCs/>
          <w:kern w:val="2"/>
          <w:sz w:val="44"/>
          <w:szCs w:val="44"/>
          <w:lang w:val="en-US" w:eastAsia="zh-CN" w:bidi="ar-SA"/>
        </w:rPr>
      </w:pPr>
      <w:bookmarkStart w:id="770" w:name="_Toc29652"/>
      <w:bookmarkStart w:id="771" w:name="_Toc2924"/>
      <w:bookmarkStart w:id="772" w:name="_Toc13147"/>
      <w:bookmarkStart w:id="773" w:name="_Toc21997"/>
      <w:bookmarkStart w:id="774" w:name="_Toc2827"/>
      <w:bookmarkStart w:id="775" w:name="_Toc7976"/>
      <w:bookmarkStart w:id="776" w:name="_Toc25740"/>
      <w:bookmarkStart w:id="777" w:name="_Toc9670"/>
      <w:bookmarkStart w:id="778" w:name="_Toc30854"/>
      <w:bookmarkStart w:id="779" w:name="_Toc8827"/>
      <w:r>
        <w:rPr>
          <w:rFonts w:hint="eastAsia" w:ascii="Arial" w:hAnsi="Arial" w:eastAsia="方正小标宋简体" w:cs="Times New Roman"/>
          <w:b w:val="0"/>
          <w:bCs/>
          <w:kern w:val="2"/>
          <w:sz w:val="44"/>
          <w:szCs w:val="44"/>
          <w:lang w:val="zh-CN" w:eastAsia="zh-CN" w:bidi="ar-SA"/>
        </w:rPr>
        <w:t xml:space="preserve">第七章 </w:t>
      </w:r>
      <w:r>
        <w:rPr>
          <w:rFonts w:hint="eastAsia" w:ascii="Arial" w:hAnsi="Arial" w:eastAsia="方正小标宋简体" w:cs="Times New Roman"/>
          <w:b w:val="0"/>
          <w:bCs/>
          <w:kern w:val="2"/>
          <w:sz w:val="44"/>
          <w:szCs w:val="44"/>
          <w:lang w:val="en-US" w:eastAsia="zh-CN" w:bidi="ar-SA"/>
        </w:rPr>
        <w:t>商务技术</w:t>
      </w:r>
      <w:bookmarkEnd w:id="770"/>
      <w:r>
        <w:rPr>
          <w:rFonts w:hint="eastAsia" w:ascii="Arial" w:hAnsi="Arial" w:eastAsia="方正小标宋简体" w:cs="Times New Roman"/>
          <w:b w:val="0"/>
          <w:bCs/>
          <w:kern w:val="2"/>
          <w:sz w:val="44"/>
          <w:szCs w:val="44"/>
          <w:lang w:val="en-US" w:eastAsia="zh-CN" w:bidi="ar-SA"/>
        </w:rPr>
        <w:t>文件</w:t>
      </w:r>
      <w:bookmarkEnd w:id="771"/>
      <w:bookmarkEnd w:id="772"/>
      <w:bookmarkEnd w:id="773"/>
      <w:bookmarkEnd w:id="774"/>
      <w:bookmarkEnd w:id="775"/>
      <w:bookmarkEnd w:id="776"/>
    </w:p>
    <w:p>
      <w:pPr>
        <w:pStyle w:val="5"/>
        <w:keepNext/>
        <w:keepLines/>
        <w:pageBreakBefore w:val="0"/>
        <w:widowControl w:val="0"/>
        <w:kinsoku/>
        <w:wordWrap/>
        <w:overflowPunct/>
        <w:topLinePunct w:val="0"/>
        <w:autoSpaceDE/>
        <w:autoSpaceDN/>
        <w:bidi w:val="0"/>
        <w:adjustRightInd/>
        <w:snapToGrid/>
        <w:spacing w:before="157" w:beforeLines="50" w:after="157" w:afterLines="50" w:line="560" w:lineRule="exact"/>
        <w:textAlignment w:val="auto"/>
        <w:outlineLvl w:val="2"/>
        <w:rPr>
          <w:rFonts w:hint="eastAsia" w:ascii="黑体" w:hAnsi="黑体" w:eastAsia="黑体"/>
          <w:b w:val="0"/>
          <w:bCs/>
          <w:sz w:val="28"/>
          <w:szCs w:val="28"/>
        </w:rPr>
      </w:pPr>
      <w:bookmarkStart w:id="780" w:name="_Toc32043"/>
      <w:bookmarkStart w:id="781" w:name="_Toc4777"/>
      <w:bookmarkStart w:id="782" w:name="_Toc29031"/>
      <w:bookmarkStart w:id="783" w:name="_Toc11868"/>
      <w:bookmarkStart w:id="784" w:name="_Toc32587"/>
      <w:r>
        <w:rPr>
          <w:rFonts w:hint="eastAsia" w:ascii="黑体" w:hAnsi="黑体" w:eastAsia="黑体"/>
          <w:b w:val="0"/>
          <w:bCs/>
          <w:sz w:val="28"/>
          <w:szCs w:val="28"/>
        </w:rPr>
        <w:t>附表1 资格性审查表</w:t>
      </w:r>
      <w:bookmarkEnd w:id="777"/>
      <w:bookmarkEnd w:id="778"/>
      <w:bookmarkEnd w:id="779"/>
      <w:bookmarkEnd w:id="780"/>
      <w:bookmarkEnd w:id="781"/>
      <w:bookmarkEnd w:id="782"/>
      <w:bookmarkEnd w:id="783"/>
      <w:bookmarkEnd w:id="784"/>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ascii="黑体" w:hAnsi="黑体" w:eastAsia="黑体"/>
          <w:b w:val="0"/>
          <w:bCs/>
          <w:sz w:val="36"/>
          <w:szCs w:val="36"/>
        </w:rPr>
      </w:pPr>
      <w:bookmarkStart w:id="785" w:name="_Hlk112524014"/>
      <w:r>
        <w:rPr>
          <w:rFonts w:hint="eastAsia" w:ascii="黑体" w:hAnsi="黑体" w:eastAsia="黑体"/>
          <w:b w:val="0"/>
          <w:bCs/>
          <w:sz w:val="36"/>
          <w:szCs w:val="36"/>
        </w:rPr>
        <w:t>资格性审查表</w:t>
      </w:r>
    </w:p>
    <w:bookmarkEnd w:id="785"/>
    <w:p>
      <w:pPr>
        <w:spacing w:line="560" w:lineRule="exact"/>
        <w:rPr>
          <w:b w:val="0"/>
          <w:bCs/>
          <w:szCs w:val="21"/>
        </w:rPr>
      </w:pPr>
      <w:r>
        <w:rPr>
          <w:rFonts w:hint="eastAsia"/>
          <w:b w:val="0"/>
          <w:bCs/>
          <w:szCs w:val="21"/>
        </w:rPr>
        <w:t>项目名称：</w:t>
      </w:r>
      <w:r>
        <w:rPr>
          <w:b w:val="0"/>
          <w:bCs/>
          <w:szCs w:val="21"/>
          <w:u w:val="single"/>
        </w:rPr>
        <w:t xml:space="preserve">                  </w:t>
      </w:r>
      <w:r>
        <w:rPr>
          <w:b w:val="0"/>
          <w:bCs/>
          <w:szCs w:val="21"/>
        </w:rPr>
        <w:t xml:space="preserve">      </w:t>
      </w:r>
      <w:r>
        <w:rPr>
          <w:rFonts w:hint="eastAsia"/>
          <w:b w:val="0"/>
          <w:bCs/>
          <w:szCs w:val="21"/>
        </w:rPr>
        <w:t>项目编号：</w:t>
      </w:r>
      <w:r>
        <w:rPr>
          <w:b w:val="0"/>
          <w:bCs/>
          <w:szCs w:val="21"/>
          <w:u w:val="single"/>
        </w:rPr>
        <w:t xml:space="preserve">                    </w:t>
      </w:r>
      <w:r>
        <w:rPr>
          <w:b w:val="0"/>
          <w:bCs/>
          <w:szCs w:val="21"/>
        </w:rPr>
        <w:t xml:space="preserve">         </w:t>
      </w:r>
      <w:r>
        <w:rPr>
          <w:rFonts w:hint="eastAsia"/>
          <w:b w:val="0"/>
          <w:bCs/>
          <w:szCs w:val="21"/>
        </w:rPr>
        <w:t>包号：</w:t>
      </w:r>
      <w:r>
        <w:rPr>
          <w:b w:val="0"/>
          <w:bCs/>
          <w:szCs w:val="21"/>
          <w:u w:val="single"/>
        </w:rPr>
        <w:t xml:space="preserve">          </w:t>
      </w:r>
    </w:p>
    <w:tbl>
      <w:tblPr>
        <w:tblStyle w:val="44"/>
        <w:tblW w:w="9435" w:type="dxa"/>
        <w:jc w:val="center"/>
        <w:tblLayout w:type="fixed"/>
        <w:tblCellMar>
          <w:top w:w="0" w:type="dxa"/>
          <w:left w:w="108" w:type="dxa"/>
          <w:bottom w:w="0" w:type="dxa"/>
          <w:right w:w="108" w:type="dxa"/>
        </w:tblCellMar>
      </w:tblPr>
      <w:tblGrid>
        <w:gridCol w:w="4474"/>
        <w:gridCol w:w="930"/>
        <w:gridCol w:w="707"/>
        <w:gridCol w:w="3324"/>
      </w:tblGrid>
      <w:tr>
        <w:tblPrEx>
          <w:tblCellMar>
            <w:top w:w="0" w:type="dxa"/>
            <w:left w:w="108" w:type="dxa"/>
            <w:bottom w:w="0" w:type="dxa"/>
            <w:right w:w="108" w:type="dxa"/>
          </w:tblCellMar>
        </w:tblPrEx>
        <w:trPr>
          <w:trHeight w:val="357" w:hRule="atLeast"/>
          <w:tblHeader/>
          <w:jc w:val="center"/>
        </w:trPr>
        <w:tc>
          <w:tcPr>
            <w:tcW w:w="44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审查项目</w:t>
            </w:r>
          </w:p>
        </w:tc>
        <w:tc>
          <w:tcPr>
            <w:tcW w:w="163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是否合格</w:t>
            </w:r>
          </w:p>
        </w:tc>
        <w:tc>
          <w:tcPr>
            <w:tcW w:w="3324" w:type="dxa"/>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具体要求</w:t>
            </w:r>
          </w:p>
        </w:tc>
      </w:tr>
      <w:tr>
        <w:tblPrEx>
          <w:tblCellMar>
            <w:top w:w="0" w:type="dxa"/>
            <w:left w:w="108" w:type="dxa"/>
            <w:bottom w:w="0" w:type="dxa"/>
            <w:right w:w="108" w:type="dxa"/>
          </w:tblCellMar>
        </w:tblPrEx>
        <w:trPr>
          <w:trHeight w:val="968" w:hRule="exact"/>
          <w:tblHeader/>
          <w:jc w:val="center"/>
        </w:trPr>
        <w:tc>
          <w:tcPr>
            <w:tcW w:w="44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b w:val="0"/>
                <w:bCs/>
                <w:szCs w:val="21"/>
              </w:rPr>
            </w:pP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szCs w:val="21"/>
              </w:rPr>
            </w:pPr>
            <w:r>
              <w:rPr>
                <w:rFonts w:hint="eastAsia" w:ascii="宋体" w:hAnsi="宋体" w:eastAsia="宋体" w:cs="宋体"/>
                <w:b w:val="0"/>
                <w:bCs/>
                <w:szCs w:val="21"/>
                <w:lang w:eastAsia="zh-CN"/>
              </w:rPr>
              <w:t>报价</w:t>
            </w:r>
            <w:r>
              <w:rPr>
                <w:rFonts w:hint="eastAsia" w:ascii="宋体" w:hAnsi="宋体" w:eastAsia="宋体" w:cs="宋体"/>
                <w:b w:val="0"/>
                <w:bCs/>
                <w:szCs w:val="21"/>
              </w:rPr>
              <w:t>供应商1</w:t>
            </w:r>
          </w:p>
        </w:tc>
        <w:tc>
          <w:tcPr>
            <w:tcW w:w="70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b w:val="0"/>
                <w:bCs/>
                <w:szCs w:val="21"/>
              </w:rPr>
            </w:pPr>
            <w:r>
              <w:rPr>
                <w:rFonts w:hint="eastAsia" w:ascii="宋体" w:hAnsi="宋体" w:cs="宋体"/>
                <w:b w:val="0"/>
                <w:bCs/>
                <w:szCs w:val="21"/>
              </w:rPr>
              <w:t>…</w:t>
            </w:r>
          </w:p>
        </w:tc>
        <w:tc>
          <w:tcPr>
            <w:tcW w:w="3324"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黑体" w:hAnsi="宋体" w:eastAsia="黑体" w:cs="宋体"/>
                <w:b w:val="0"/>
                <w:bCs/>
                <w:szCs w:val="21"/>
              </w:rPr>
            </w:pPr>
          </w:p>
        </w:tc>
      </w:tr>
      <w:tr>
        <w:tblPrEx>
          <w:tblCellMar>
            <w:top w:w="0" w:type="dxa"/>
            <w:left w:w="108" w:type="dxa"/>
            <w:bottom w:w="0" w:type="dxa"/>
            <w:right w:w="108" w:type="dxa"/>
          </w:tblCellMar>
        </w:tblPrEx>
        <w:trPr>
          <w:trHeight w:val="675" w:hRule="exact"/>
          <w:jc w:val="center"/>
        </w:trPr>
        <w:tc>
          <w:tcPr>
            <w:tcW w:w="9435" w:type="dxa"/>
            <w:gridSpan w:val="4"/>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rPr>
              <w:t>一、一般资格审查</w:t>
            </w:r>
          </w:p>
        </w:tc>
      </w:tr>
      <w:tr>
        <w:tblPrEx>
          <w:tblCellMar>
            <w:top w:w="0" w:type="dxa"/>
            <w:left w:w="108" w:type="dxa"/>
            <w:bottom w:w="0" w:type="dxa"/>
            <w:right w:w="108" w:type="dxa"/>
          </w:tblCellMar>
        </w:tblPrEx>
        <w:trPr>
          <w:trHeight w:val="2258" w:hRule="exact"/>
          <w:jc w:val="center"/>
        </w:trPr>
        <w:tc>
          <w:tcPr>
            <w:tcW w:w="4474" w:type="dxa"/>
            <w:tcBorders>
              <w:top w:val="nil"/>
              <w:left w:val="single" w:color="auto" w:sz="4" w:space="0"/>
              <w:bottom w:val="single" w:color="auto" w:sz="4" w:space="0"/>
              <w:right w:val="single" w:color="auto" w:sz="4" w:space="0"/>
            </w:tcBorders>
            <w:noWrap w:val="0"/>
            <w:vAlign w:val="center"/>
          </w:tcPr>
          <w:p>
            <w:pPr>
              <w:spacing w:line="240" w:lineRule="auto"/>
              <w:rPr>
                <w:rFonts w:ascii="宋体" w:hAnsi="宋体" w:eastAsia="宋体" w:cs="Times New Roman"/>
                <w:b w:val="0"/>
                <w:bCs/>
                <w:szCs w:val="21"/>
              </w:rPr>
            </w:pPr>
            <w:r>
              <w:rPr>
                <w:rFonts w:ascii="宋体" w:hAnsi="宋体" w:eastAsia="宋体" w:cs="Times New Roman"/>
                <w:b w:val="0"/>
                <w:bCs/>
                <w:szCs w:val="21"/>
              </w:rPr>
              <w:t>1.营业执照或事业单位法人证书满足</w:t>
            </w:r>
            <w:r>
              <w:rPr>
                <w:rFonts w:hint="eastAsia" w:ascii="宋体" w:hAnsi="宋体" w:cs="Times New Roman"/>
                <w:b w:val="0"/>
                <w:bCs/>
                <w:szCs w:val="21"/>
                <w:lang w:eastAsia="zh-CN"/>
              </w:rPr>
              <w:t>谈判</w:t>
            </w:r>
            <w:r>
              <w:rPr>
                <w:rFonts w:ascii="宋体" w:hAnsi="宋体" w:eastAsia="宋体" w:cs="Times New Roman"/>
                <w:b w:val="0"/>
                <w:bCs/>
                <w:szCs w:val="21"/>
              </w:rPr>
              <w:t>文件要求</w:t>
            </w:r>
          </w:p>
        </w:tc>
        <w:tc>
          <w:tcPr>
            <w:tcW w:w="93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707"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spacing w:line="240" w:lineRule="auto"/>
              <w:rPr>
                <w:rFonts w:ascii="宋体" w:hAnsi="宋体" w:eastAsia="宋体" w:cs="Times New Roman"/>
                <w:b w:val="0"/>
                <w:bCs/>
                <w:szCs w:val="21"/>
              </w:rPr>
            </w:pPr>
            <w:r>
              <w:rPr>
                <w:rFonts w:hint="eastAsia" w:ascii="宋体" w:hAnsi="宋体" w:eastAsia="宋体" w:cs="Times New Roman"/>
                <w:b w:val="0"/>
                <w:bCs/>
                <w:szCs w:val="21"/>
              </w:rPr>
              <w:t>企业法人须提供“统一社会信用代码营业执照”，未换证的提交“营业执照、税务登记证、组织机构代码证或三证合一的营业执照”；事业单位须提供“统一社会信用代码法人登记书”，未换证的提交“事业法人登记证书、组织机构代码证”；军队单位不作要求</w:t>
            </w:r>
          </w:p>
        </w:tc>
      </w:tr>
      <w:tr>
        <w:tblPrEx>
          <w:tblCellMar>
            <w:top w:w="0" w:type="dxa"/>
            <w:left w:w="108" w:type="dxa"/>
            <w:bottom w:w="0" w:type="dxa"/>
            <w:right w:w="108" w:type="dxa"/>
          </w:tblCellMar>
        </w:tblPrEx>
        <w:trPr>
          <w:trHeight w:val="698" w:hRule="exact"/>
          <w:jc w:val="center"/>
        </w:trPr>
        <w:tc>
          <w:tcPr>
            <w:tcW w:w="4474" w:type="dxa"/>
            <w:tcBorders>
              <w:top w:val="nil"/>
              <w:left w:val="single" w:color="auto" w:sz="4" w:space="0"/>
              <w:bottom w:val="single" w:color="auto" w:sz="4" w:space="0"/>
              <w:right w:val="single" w:color="auto" w:sz="4" w:space="0"/>
            </w:tcBorders>
            <w:noWrap w:val="0"/>
            <w:vAlign w:val="center"/>
          </w:tcPr>
          <w:p>
            <w:pPr>
              <w:spacing w:line="240" w:lineRule="auto"/>
              <w:rPr>
                <w:rFonts w:ascii="宋体" w:hAnsi="宋体" w:eastAsia="宋体" w:cs="Times New Roman"/>
                <w:b w:val="0"/>
                <w:bCs/>
                <w:szCs w:val="21"/>
              </w:rPr>
            </w:pPr>
            <w:r>
              <w:rPr>
                <w:rFonts w:ascii="宋体" w:hAnsi="宋体" w:eastAsia="宋体" w:cs="Times New Roman"/>
                <w:b w:val="0"/>
                <w:bCs/>
                <w:szCs w:val="21"/>
              </w:rPr>
              <w:t>2.法定代表人资格证明书</w:t>
            </w:r>
          </w:p>
        </w:tc>
        <w:tc>
          <w:tcPr>
            <w:tcW w:w="93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707"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spacing w:line="240" w:lineRule="auto"/>
              <w:rPr>
                <w:rFonts w:ascii="宋体" w:hAnsi="宋体" w:eastAsia="宋体" w:cs="Times New Roman"/>
                <w:b w:val="0"/>
                <w:bCs/>
                <w:szCs w:val="21"/>
              </w:rPr>
            </w:pPr>
          </w:p>
        </w:tc>
      </w:tr>
      <w:tr>
        <w:tblPrEx>
          <w:tblCellMar>
            <w:top w:w="0" w:type="dxa"/>
            <w:left w:w="108" w:type="dxa"/>
            <w:bottom w:w="0" w:type="dxa"/>
            <w:right w:w="108" w:type="dxa"/>
          </w:tblCellMar>
        </w:tblPrEx>
        <w:trPr>
          <w:trHeight w:val="1261" w:hRule="exact"/>
          <w:jc w:val="center"/>
        </w:trPr>
        <w:tc>
          <w:tcPr>
            <w:tcW w:w="4474" w:type="dxa"/>
            <w:tcBorders>
              <w:top w:val="nil"/>
              <w:left w:val="single" w:color="auto" w:sz="4" w:space="0"/>
              <w:bottom w:val="single" w:color="auto" w:sz="4" w:space="0"/>
              <w:right w:val="single" w:color="auto" w:sz="4" w:space="0"/>
            </w:tcBorders>
            <w:noWrap w:val="0"/>
            <w:vAlign w:val="center"/>
          </w:tcPr>
          <w:p>
            <w:pPr>
              <w:spacing w:line="240" w:lineRule="auto"/>
              <w:rPr>
                <w:rFonts w:ascii="宋体" w:hAnsi="宋体" w:eastAsia="宋体" w:cs="Times New Roman"/>
                <w:b w:val="0"/>
                <w:bCs/>
                <w:szCs w:val="21"/>
              </w:rPr>
            </w:pPr>
            <w:r>
              <w:rPr>
                <w:rFonts w:ascii="宋体" w:hAnsi="宋体" w:eastAsia="宋体" w:cs="Times New Roman"/>
                <w:b w:val="0"/>
                <w:bCs/>
                <w:szCs w:val="21"/>
              </w:rPr>
              <w:t xml:space="preserve">3. </w:t>
            </w:r>
            <w:r>
              <w:rPr>
                <w:rFonts w:hint="eastAsia" w:ascii="宋体" w:hAnsi="宋体" w:eastAsia="宋体" w:cs="Times New Roman"/>
                <w:b w:val="0"/>
                <w:bCs/>
                <w:szCs w:val="21"/>
              </w:rPr>
              <w:t>法定代表人授权书</w:t>
            </w:r>
          </w:p>
        </w:tc>
        <w:tc>
          <w:tcPr>
            <w:tcW w:w="93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707"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spacing w:line="240" w:lineRule="auto"/>
              <w:rPr>
                <w:rFonts w:ascii="宋体" w:hAnsi="宋体" w:eastAsia="宋体" w:cs="Times New Roman"/>
                <w:b w:val="0"/>
                <w:bCs/>
                <w:szCs w:val="21"/>
              </w:rPr>
            </w:pPr>
            <w:r>
              <w:rPr>
                <w:rFonts w:hint="eastAsia" w:ascii="宋体" w:hAnsi="宋体" w:eastAsia="宋体" w:cs="Times New Roman"/>
                <w:b w:val="0"/>
                <w:bCs/>
                <w:szCs w:val="21"/>
                <w:lang w:val="en-US" w:eastAsia="zh-CN"/>
              </w:rPr>
              <w:t>提供授权代表报价前4个月内（不含报价当月）连续3个月由报价供应商缴纳的社保证明材料。代缴社保证明材料不予认可。</w:t>
            </w:r>
          </w:p>
        </w:tc>
      </w:tr>
      <w:tr>
        <w:tblPrEx>
          <w:tblCellMar>
            <w:top w:w="0" w:type="dxa"/>
            <w:left w:w="108" w:type="dxa"/>
            <w:bottom w:w="0" w:type="dxa"/>
            <w:right w:w="108" w:type="dxa"/>
          </w:tblCellMar>
        </w:tblPrEx>
        <w:trPr>
          <w:trHeight w:val="814" w:hRule="exact"/>
          <w:jc w:val="center"/>
        </w:trPr>
        <w:tc>
          <w:tcPr>
            <w:tcW w:w="4474" w:type="dxa"/>
            <w:tcBorders>
              <w:top w:val="nil"/>
              <w:left w:val="single" w:color="auto" w:sz="4" w:space="0"/>
              <w:bottom w:val="single" w:color="auto" w:sz="4" w:space="0"/>
              <w:right w:val="single" w:color="auto" w:sz="4" w:space="0"/>
            </w:tcBorders>
            <w:noWrap w:val="0"/>
            <w:vAlign w:val="center"/>
          </w:tcPr>
          <w:p>
            <w:pPr>
              <w:spacing w:line="240" w:lineRule="auto"/>
              <w:rPr>
                <w:rFonts w:ascii="宋体" w:hAnsi="宋体" w:eastAsia="宋体" w:cs="Times New Roman"/>
                <w:b w:val="0"/>
                <w:bCs/>
                <w:szCs w:val="21"/>
              </w:rPr>
            </w:pPr>
            <w:r>
              <w:rPr>
                <w:rFonts w:ascii="宋体" w:hAnsi="宋体" w:eastAsia="宋体" w:cs="Times New Roman"/>
                <w:b w:val="0"/>
                <w:bCs/>
                <w:szCs w:val="21"/>
              </w:rPr>
              <w:t xml:space="preserve">4. </w:t>
            </w:r>
            <w:r>
              <w:rPr>
                <w:rFonts w:hint="eastAsia" w:ascii="宋体" w:hAnsi="宋体" w:eastAsia="宋体" w:cs="Times New Roman"/>
                <w:b w:val="0"/>
                <w:bCs/>
                <w:szCs w:val="21"/>
              </w:rPr>
              <w:t>申领</w:t>
            </w:r>
            <w:r>
              <w:rPr>
                <w:rFonts w:hint="eastAsia" w:ascii="宋体" w:hAnsi="宋体" w:eastAsia="宋体" w:cs="Times New Roman"/>
                <w:b w:val="0"/>
                <w:bCs/>
                <w:szCs w:val="21"/>
                <w:lang w:eastAsia="zh-CN"/>
              </w:rPr>
              <w:t>谈判</w:t>
            </w:r>
            <w:r>
              <w:rPr>
                <w:rFonts w:hint="eastAsia" w:ascii="宋体" w:hAnsi="宋体" w:eastAsia="宋体" w:cs="Times New Roman"/>
                <w:b w:val="0"/>
                <w:bCs/>
                <w:szCs w:val="21"/>
              </w:rPr>
              <w:t>文件</w:t>
            </w:r>
            <w:bookmarkStart w:id="786" w:name="_Hlk112258452"/>
            <w:r>
              <w:rPr>
                <w:rFonts w:hint="eastAsia" w:ascii="宋体" w:hAnsi="宋体" w:eastAsia="宋体" w:cs="Times New Roman"/>
                <w:b w:val="0"/>
                <w:bCs/>
                <w:szCs w:val="21"/>
              </w:rPr>
              <w:t>截止时间</w:t>
            </w:r>
            <w:bookmarkEnd w:id="786"/>
            <w:r>
              <w:rPr>
                <w:rFonts w:hint="eastAsia" w:ascii="宋体" w:hAnsi="宋体" w:eastAsia="宋体" w:cs="Times New Roman"/>
                <w:b w:val="0"/>
                <w:bCs/>
                <w:szCs w:val="21"/>
              </w:rPr>
              <w:t>，供应商成立时间不少于</w:t>
            </w:r>
            <w:r>
              <w:rPr>
                <w:rFonts w:hint="eastAsia" w:ascii="宋体" w:hAnsi="宋体" w:eastAsia="宋体" w:cs="Times New Roman"/>
                <w:b w:val="0"/>
                <w:bCs/>
                <w:szCs w:val="21"/>
                <w:lang w:val="en-US" w:eastAsia="zh-CN"/>
              </w:rPr>
              <w:t>1</w:t>
            </w:r>
            <w:r>
              <w:rPr>
                <w:rFonts w:ascii="宋体" w:hAnsi="宋体" w:eastAsia="宋体" w:cs="Times New Roman"/>
                <w:b w:val="0"/>
                <w:bCs/>
                <w:szCs w:val="21"/>
              </w:rPr>
              <w:t>年</w:t>
            </w:r>
          </w:p>
        </w:tc>
        <w:tc>
          <w:tcPr>
            <w:tcW w:w="93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707"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spacing w:line="240" w:lineRule="auto"/>
              <w:rPr>
                <w:rFonts w:ascii="宋体" w:hAnsi="宋体" w:eastAsia="宋体" w:cs="Times New Roman"/>
                <w:b w:val="0"/>
                <w:bCs/>
                <w:szCs w:val="21"/>
              </w:rPr>
            </w:pPr>
            <w:r>
              <w:rPr>
                <w:rFonts w:hint="eastAsia" w:ascii="宋体" w:hAnsi="宋体" w:eastAsia="宋体" w:cs="Times New Roman"/>
                <w:b w:val="0"/>
                <w:bCs/>
                <w:szCs w:val="21"/>
              </w:rPr>
              <w:t>国有企业、事业单位、军队单位除外</w:t>
            </w:r>
          </w:p>
        </w:tc>
      </w:tr>
      <w:tr>
        <w:tblPrEx>
          <w:tblCellMar>
            <w:top w:w="0" w:type="dxa"/>
            <w:left w:w="108" w:type="dxa"/>
            <w:bottom w:w="0" w:type="dxa"/>
            <w:right w:w="108" w:type="dxa"/>
          </w:tblCellMar>
        </w:tblPrEx>
        <w:trPr>
          <w:trHeight w:val="2288" w:hRule="exact"/>
          <w:jc w:val="center"/>
        </w:trPr>
        <w:tc>
          <w:tcPr>
            <w:tcW w:w="4474" w:type="dxa"/>
            <w:tcBorders>
              <w:top w:val="nil"/>
              <w:left w:val="single" w:color="auto" w:sz="4" w:space="0"/>
              <w:bottom w:val="single" w:color="auto" w:sz="4" w:space="0"/>
              <w:right w:val="single" w:color="auto" w:sz="4" w:space="0"/>
            </w:tcBorders>
            <w:noWrap w:val="0"/>
            <w:vAlign w:val="center"/>
          </w:tcPr>
          <w:p>
            <w:pPr>
              <w:spacing w:line="240" w:lineRule="auto"/>
              <w:rPr>
                <w:rFonts w:ascii="宋体" w:hAnsi="宋体"/>
                <w:b w:val="0"/>
                <w:bCs/>
                <w:szCs w:val="21"/>
              </w:rPr>
            </w:pPr>
            <w:r>
              <w:rPr>
                <w:rFonts w:ascii="宋体" w:hAnsi="宋体"/>
                <w:b w:val="0"/>
                <w:bCs/>
                <w:szCs w:val="21"/>
              </w:rPr>
              <w:t>5.供应商承诺及书面声明</w:t>
            </w:r>
          </w:p>
        </w:tc>
        <w:tc>
          <w:tcPr>
            <w:tcW w:w="93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707"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b w:val="0"/>
                <w:bCs/>
                <w:szCs w:val="21"/>
                <w:lang w:eastAsia="zh-CN"/>
              </w:rPr>
            </w:pPr>
            <w:r>
              <w:rPr>
                <w:rFonts w:hint="eastAsia" w:ascii="宋体" w:hAnsi="宋体"/>
                <w:b w:val="0"/>
                <w:bCs/>
                <w:szCs w:val="21"/>
              </w:rPr>
              <w:t>承诺</w:t>
            </w:r>
            <w:r>
              <w:rPr>
                <w:rFonts w:hint="eastAsia" w:ascii="宋体" w:hAnsi="宋体" w:eastAsia="宋体"/>
                <w:b w:val="0"/>
                <w:bCs/>
                <w:szCs w:val="21"/>
              </w:rPr>
              <w:t>及书面声明应当包含供应商诚信承诺、保密承诺、诚信责任保证金承诺、未被列入失信名单承诺、</w:t>
            </w:r>
            <w:r>
              <w:rPr>
                <w:rFonts w:hint="eastAsia" w:ascii="宋体" w:hAnsi="宋体" w:eastAsia="宋体"/>
                <w:b w:val="0"/>
                <w:bCs/>
                <w:szCs w:val="21"/>
                <w:lang w:eastAsia="zh-CN"/>
              </w:rPr>
              <w:t>关联</w:t>
            </w:r>
            <w:r>
              <w:rPr>
                <w:rFonts w:hint="eastAsia" w:ascii="宋体" w:hAnsi="宋体" w:eastAsia="宋体"/>
                <w:b w:val="0"/>
                <w:bCs/>
                <w:szCs w:val="21"/>
              </w:rPr>
              <w:t>关系企业不参与采购活动承诺、没有重大违法记录、没有发生过重大质量安全事故、非外资独资企业或外资控股企业的书面声明</w:t>
            </w:r>
            <w:r>
              <w:rPr>
                <w:rFonts w:hint="eastAsia" w:ascii="宋体" w:hAnsi="宋体" w:eastAsia="宋体"/>
                <w:b w:val="0"/>
                <w:bCs/>
                <w:szCs w:val="21"/>
                <w:lang w:eastAsia="zh-CN"/>
              </w:rPr>
              <w:t>。</w:t>
            </w:r>
          </w:p>
        </w:tc>
      </w:tr>
      <w:tr>
        <w:tblPrEx>
          <w:tblCellMar>
            <w:top w:w="0" w:type="dxa"/>
            <w:left w:w="108" w:type="dxa"/>
            <w:bottom w:w="0" w:type="dxa"/>
            <w:right w:w="108" w:type="dxa"/>
          </w:tblCellMar>
        </w:tblPrEx>
        <w:trPr>
          <w:trHeight w:val="1706" w:hRule="exact"/>
          <w:jc w:val="center"/>
        </w:trPr>
        <w:tc>
          <w:tcPr>
            <w:tcW w:w="4474" w:type="dxa"/>
            <w:tcBorders>
              <w:top w:val="nil"/>
              <w:left w:val="single" w:color="auto" w:sz="4" w:space="0"/>
              <w:bottom w:val="single" w:color="auto" w:sz="4" w:space="0"/>
              <w:right w:val="single" w:color="auto" w:sz="4" w:space="0"/>
            </w:tcBorders>
            <w:noWrap w:val="0"/>
            <w:vAlign w:val="center"/>
          </w:tcPr>
          <w:p>
            <w:pPr>
              <w:spacing w:line="240" w:lineRule="auto"/>
              <w:rPr>
                <w:rFonts w:ascii="宋体" w:hAnsi="宋体"/>
                <w:b w:val="0"/>
                <w:bCs/>
                <w:szCs w:val="21"/>
              </w:rPr>
            </w:pPr>
            <w:r>
              <w:rPr>
                <w:rFonts w:ascii="宋体" w:hAnsi="宋体"/>
                <w:b w:val="0"/>
                <w:bCs/>
                <w:szCs w:val="21"/>
              </w:rPr>
              <w:t>6.</w:t>
            </w:r>
            <w:r>
              <w:rPr>
                <w:rFonts w:hint="eastAsia" w:ascii="宋体" w:hAnsi="宋体"/>
                <w:b w:val="0"/>
                <w:bCs/>
                <w:szCs w:val="21"/>
                <w:lang w:eastAsia="zh-CN"/>
              </w:rPr>
              <w:t>报价</w:t>
            </w:r>
            <w:r>
              <w:rPr>
                <w:rFonts w:ascii="宋体" w:hAnsi="宋体"/>
                <w:b w:val="0"/>
                <w:bCs/>
                <w:szCs w:val="21"/>
              </w:rPr>
              <w:t>供应商最近一年内（</w:t>
            </w:r>
            <w:r>
              <w:rPr>
                <w:rFonts w:hint="eastAsia" w:ascii="宋体" w:hAnsi="宋体"/>
                <w:b w:val="0"/>
                <w:bCs/>
                <w:szCs w:val="21"/>
                <w:lang w:eastAsia="zh-CN"/>
              </w:rPr>
              <w:t>报价</w:t>
            </w:r>
            <w:r>
              <w:rPr>
                <w:rFonts w:ascii="宋体" w:hAnsi="宋体"/>
                <w:b w:val="0"/>
                <w:bCs/>
                <w:szCs w:val="21"/>
              </w:rPr>
              <w:t>时间截止前）</w:t>
            </w:r>
            <w:r>
              <w:rPr>
                <w:rFonts w:hint="eastAsia" w:ascii="宋体" w:hAnsi="宋体"/>
                <w:b w:val="0"/>
                <w:bCs/>
                <w:szCs w:val="21"/>
              </w:rPr>
              <w:t>任意</w:t>
            </w:r>
            <w:r>
              <w:rPr>
                <w:rFonts w:hint="eastAsia" w:ascii="宋体" w:hAnsi="宋体"/>
                <w:b w:val="0"/>
                <w:bCs/>
                <w:szCs w:val="21"/>
                <w:lang w:val="en-US" w:eastAsia="zh-CN"/>
              </w:rPr>
              <w:t>3</w:t>
            </w:r>
            <w:r>
              <w:rPr>
                <w:rFonts w:ascii="宋体" w:hAnsi="宋体"/>
                <w:b w:val="0"/>
                <w:bCs/>
                <w:szCs w:val="21"/>
              </w:rPr>
              <w:t>个月纳税的证明材料</w:t>
            </w:r>
          </w:p>
        </w:tc>
        <w:tc>
          <w:tcPr>
            <w:tcW w:w="93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707"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auto"/>
              <w:jc w:val="left"/>
              <w:rPr>
                <w:rFonts w:ascii="宋体" w:hAnsi="宋体" w:cs="宋体"/>
                <w:b w:val="0"/>
                <w:bCs/>
                <w:szCs w:val="21"/>
              </w:rPr>
            </w:pPr>
            <w:r>
              <w:rPr>
                <w:rFonts w:hint="eastAsia" w:ascii="宋体" w:hAnsi="宋体" w:cs="宋体"/>
                <w:b w:val="0"/>
                <w:bCs/>
                <w:szCs w:val="21"/>
              </w:rPr>
              <w:t>根据税务部门出具的完税凭证或纳税的银行转账汇款单、对账单等判定；军队单位不作要求；不需要纳税的供应商，应当提供相关证明材料</w:t>
            </w:r>
          </w:p>
        </w:tc>
      </w:tr>
      <w:tr>
        <w:tblPrEx>
          <w:tblCellMar>
            <w:top w:w="0" w:type="dxa"/>
            <w:left w:w="108" w:type="dxa"/>
            <w:bottom w:w="0" w:type="dxa"/>
            <w:right w:w="108" w:type="dxa"/>
          </w:tblCellMar>
        </w:tblPrEx>
        <w:trPr>
          <w:trHeight w:val="1678" w:hRule="exact"/>
          <w:jc w:val="center"/>
        </w:trPr>
        <w:tc>
          <w:tcPr>
            <w:tcW w:w="4474" w:type="dxa"/>
            <w:tcBorders>
              <w:top w:val="nil"/>
              <w:left w:val="single" w:color="auto" w:sz="4" w:space="0"/>
              <w:bottom w:val="single" w:color="auto" w:sz="4" w:space="0"/>
              <w:right w:val="single" w:color="auto" w:sz="4" w:space="0"/>
            </w:tcBorders>
            <w:noWrap w:val="0"/>
            <w:vAlign w:val="center"/>
          </w:tcPr>
          <w:p>
            <w:pPr>
              <w:spacing w:line="240" w:lineRule="auto"/>
              <w:rPr>
                <w:rFonts w:ascii="宋体" w:hAnsi="宋体" w:eastAsia="宋体" w:cs="Times New Roman"/>
                <w:b w:val="0"/>
                <w:bCs/>
                <w:szCs w:val="21"/>
              </w:rPr>
            </w:pPr>
            <w:r>
              <w:rPr>
                <w:rFonts w:ascii="宋体" w:hAnsi="宋体" w:eastAsia="宋体" w:cs="Times New Roman"/>
                <w:b w:val="0"/>
                <w:bCs/>
                <w:szCs w:val="21"/>
              </w:rPr>
              <w:t>7.</w:t>
            </w:r>
            <w:r>
              <w:rPr>
                <w:rFonts w:hint="eastAsia" w:ascii="宋体" w:hAnsi="宋体" w:eastAsia="宋体" w:cs="Times New Roman"/>
                <w:b w:val="0"/>
                <w:bCs/>
                <w:szCs w:val="21"/>
                <w:lang w:eastAsia="zh-CN"/>
              </w:rPr>
              <w:t>报价</w:t>
            </w:r>
            <w:r>
              <w:rPr>
                <w:rFonts w:ascii="宋体" w:hAnsi="宋体" w:eastAsia="宋体" w:cs="Times New Roman"/>
                <w:b w:val="0"/>
                <w:bCs/>
                <w:szCs w:val="21"/>
              </w:rPr>
              <w:t>供应商最近一年内（</w:t>
            </w:r>
            <w:r>
              <w:rPr>
                <w:rFonts w:hint="eastAsia" w:ascii="宋体" w:hAnsi="宋体" w:eastAsia="宋体" w:cs="Times New Roman"/>
                <w:b w:val="0"/>
                <w:bCs/>
                <w:szCs w:val="21"/>
                <w:lang w:eastAsia="zh-CN"/>
              </w:rPr>
              <w:t>报价</w:t>
            </w:r>
            <w:r>
              <w:rPr>
                <w:rFonts w:ascii="宋体" w:hAnsi="宋体" w:eastAsia="宋体" w:cs="Times New Roman"/>
                <w:b w:val="0"/>
                <w:bCs/>
                <w:szCs w:val="21"/>
              </w:rPr>
              <w:t>时间截止前）任意</w:t>
            </w:r>
            <w:r>
              <w:rPr>
                <w:rFonts w:hint="eastAsia" w:ascii="宋体" w:hAnsi="宋体" w:eastAsia="宋体" w:cs="Times New Roman"/>
                <w:b w:val="0"/>
                <w:bCs/>
                <w:szCs w:val="21"/>
                <w:lang w:val="en-US" w:eastAsia="zh-CN"/>
              </w:rPr>
              <w:t>3</w:t>
            </w:r>
            <w:r>
              <w:rPr>
                <w:rFonts w:ascii="宋体" w:hAnsi="宋体" w:eastAsia="宋体" w:cs="Times New Roman"/>
                <w:b w:val="0"/>
                <w:bCs/>
                <w:szCs w:val="21"/>
              </w:rPr>
              <w:t>个月缴纳社会保障金的证明材料</w:t>
            </w:r>
          </w:p>
        </w:tc>
        <w:tc>
          <w:tcPr>
            <w:tcW w:w="930" w:type="dxa"/>
            <w:tcBorders>
              <w:top w:val="nil"/>
              <w:left w:val="nil"/>
              <w:bottom w:val="single" w:color="auto" w:sz="4" w:space="0"/>
              <w:right w:val="single" w:color="auto" w:sz="4" w:space="0"/>
            </w:tcBorders>
            <w:noWrap w:val="0"/>
            <w:vAlign w:val="center"/>
          </w:tcPr>
          <w:p>
            <w:pPr>
              <w:spacing w:line="240" w:lineRule="auto"/>
              <w:rPr>
                <w:rFonts w:ascii="宋体" w:hAnsi="宋体" w:eastAsia="宋体" w:cs="Times New Roman"/>
                <w:b w:val="0"/>
                <w:bCs/>
                <w:szCs w:val="21"/>
              </w:rPr>
            </w:pPr>
          </w:p>
          <w:p>
            <w:pPr>
              <w:spacing w:line="240" w:lineRule="auto"/>
              <w:rPr>
                <w:rFonts w:ascii="宋体" w:hAnsi="宋体" w:eastAsia="宋体" w:cs="Times New Roman"/>
                <w:b w:val="0"/>
                <w:bCs/>
                <w:szCs w:val="21"/>
              </w:rPr>
            </w:pPr>
          </w:p>
          <w:p>
            <w:pPr>
              <w:spacing w:line="240" w:lineRule="auto"/>
              <w:rPr>
                <w:rFonts w:ascii="宋体" w:hAnsi="宋体" w:eastAsia="宋体" w:cs="Times New Roman"/>
                <w:b w:val="0"/>
                <w:bCs/>
                <w:szCs w:val="21"/>
              </w:rPr>
            </w:pPr>
          </w:p>
          <w:p>
            <w:pPr>
              <w:spacing w:line="240" w:lineRule="auto"/>
              <w:rPr>
                <w:rFonts w:ascii="宋体" w:hAnsi="宋体" w:eastAsia="宋体" w:cs="Times New Roman"/>
                <w:b w:val="0"/>
                <w:bCs/>
                <w:szCs w:val="21"/>
              </w:rPr>
            </w:pPr>
          </w:p>
          <w:p>
            <w:pPr>
              <w:spacing w:line="240" w:lineRule="auto"/>
              <w:rPr>
                <w:rFonts w:ascii="宋体" w:hAnsi="宋体" w:eastAsia="宋体" w:cs="Times New Roman"/>
                <w:b w:val="0"/>
                <w:bCs/>
                <w:szCs w:val="21"/>
              </w:rPr>
            </w:pPr>
          </w:p>
          <w:p>
            <w:pPr>
              <w:spacing w:line="240" w:lineRule="auto"/>
              <w:rPr>
                <w:rFonts w:ascii="宋体" w:hAnsi="宋体" w:eastAsia="宋体" w:cs="Times New Roman"/>
                <w:b w:val="0"/>
                <w:bCs/>
                <w:szCs w:val="21"/>
              </w:rPr>
            </w:pPr>
          </w:p>
          <w:p>
            <w:pPr>
              <w:spacing w:line="240" w:lineRule="auto"/>
              <w:rPr>
                <w:rFonts w:ascii="宋体" w:hAnsi="宋体" w:eastAsia="宋体" w:cs="Times New Roman"/>
                <w:b w:val="0"/>
                <w:bCs/>
                <w:szCs w:val="21"/>
              </w:rPr>
            </w:pPr>
          </w:p>
          <w:p>
            <w:pPr>
              <w:spacing w:line="240" w:lineRule="auto"/>
              <w:rPr>
                <w:rFonts w:ascii="宋体" w:hAnsi="宋体" w:eastAsia="宋体" w:cs="Times New Roman"/>
                <w:b w:val="0"/>
                <w:bCs/>
                <w:szCs w:val="21"/>
              </w:rPr>
            </w:pPr>
          </w:p>
          <w:p>
            <w:pPr>
              <w:spacing w:line="240" w:lineRule="auto"/>
              <w:rPr>
                <w:rFonts w:ascii="宋体" w:hAnsi="宋体" w:eastAsia="宋体" w:cs="Times New Roman"/>
                <w:b w:val="0"/>
                <w:bCs/>
                <w:szCs w:val="21"/>
              </w:rPr>
            </w:pPr>
          </w:p>
        </w:tc>
        <w:tc>
          <w:tcPr>
            <w:tcW w:w="707" w:type="dxa"/>
            <w:tcBorders>
              <w:top w:val="nil"/>
              <w:left w:val="nil"/>
              <w:bottom w:val="single" w:color="auto" w:sz="4" w:space="0"/>
              <w:right w:val="single" w:color="auto" w:sz="4" w:space="0"/>
            </w:tcBorders>
            <w:noWrap w:val="0"/>
            <w:vAlign w:val="center"/>
          </w:tcPr>
          <w:p>
            <w:pPr>
              <w:spacing w:line="240" w:lineRule="auto"/>
              <w:rPr>
                <w:rFonts w:ascii="宋体" w:hAnsi="宋体" w:eastAsia="宋体" w:cs="Times New Roman"/>
                <w:b w:val="0"/>
                <w:bCs/>
                <w:szCs w:val="21"/>
              </w:rPr>
            </w:pPr>
          </w:p>
        </w:tc>
        <w:tc>
          <w:tcPr>
            <w:tcW w:w="3324" w:type="dxa"/>
            <w:tcBorders>
              <w:top w:val="nil"/>
              <w:left w:val="nil"/>
              <w:bottom w:val="single" w:color="auto" w:sz="4" w:space="0"/>
              <w:right w:val="single" w:color="auto" w:sz="4" w:space="0"/>
            </w:tcBorders>
            <w:noWrap w:val="0"/>
            <w:vAlign w:val="center"/>
          </w:tcPr>
          <w:p>
            <w:pPr>
              <w:spacing w:line="240" w:lineRule="auto"/>
              <w:rPr>
                <w:rFonts w:ascii="宋体" w:hAnsi="宋体" w:eastAsia="宋体" w:cs="Times New Roman"/>
                <w:b w:val="0"/>
                <w:bCs/>
                <w:szCs w:val="21"/>
              </w:rPr>
            </w:pPr>
            <w:r>
              <w:rPr>
                <w:rFonts w:hint="eastAsia" w:ascii="宋体" w:hAnsi="宋体" w:eastAsia="宋体" w:cs="Times New Roman"/>
                <w:b w:val="0"/>
                <w:bCs/>
                <w:szCs w:val="21"/>
              </w:rPr>
              <w:t>根据银行转账汇款单或社保（税务）部门出具的缴纳社会保障金的凭证判定；不需要缴纳社会保障金的供应商，</w:t>
            </w:r>
            <w:r>
              <w:rPr>
                <w:rFonts w:hint="eastAsia" w:ascii="宋体" w:hAnsi="宋体" w:eastAsia="宋体" w:cs="Times New Roman"/>
                <w:b w:val="0"/>
                <w:bCs/>
                <w:szCs w:val="21"/>
                <w:lang w:eastAsia="zh-CN"/>
              </w:rPr>
              <w:t>报价</w:t>
            </w:r>
            <w:r>
              <w:rPr>
                <w:rFonts w:hint="eastAsia" w:ascii="宋体" w:hAnsi="宋体" w:eastAsia="宋体" w:cs="Times New Roman"/>
                <w:b w:val="0"/>
                <w:bCs/>
                <w:szCs w:val="21"/>
              </w:rPr>
              <w:t>供应商应当提供相关证明材料或提供书面声明</w:t>
            </w:r>
          </w:p>
        </w:tc>
      </w:tr>
      <w:tr>
        <w:tblPrEx>
          <w:tblCellMar>
            <w:top w:w="0" w:type="dxa"/>
            <w:left w:w="108" w:type="dxa"/>
            <w:bottom w:w="0" w:type="dxa"/>
            <w:right w:w="108" w:type="dxa"/>
          </w:tblCellMar>
        </w:tblPrEx>
        <w:trPr>
          <w:trHeight w:val="1165" w:hRule="exact"/>
          <w:jc w:val="center"/>
        </w:trPr>
        <w:tc>
          <w:tcPr>
            <w:tcW w:w="4474"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Times New Roman"/>
                <w:b w:val="0"/>
                <w:bCs/>
                <w:szCs w:val="21"/>
                <w:lang w:eastAsia="zh-CN"/>
              </w:rPr>
            </w:pPr>
            <w:r>
              <w:rPr>
                <w:rFonts w:ascii="宋体" w:hAnsi="宋体" w:eastAsia="宋体" w:cs="Times New Roman"/>
                <w:b w:val="0"/>
                <w:bCs/>
                <w:szCs w:val="21"/>
              </w:rPr>
              <w:t>8.</w:t>
            </w:r>
            <w:r>
              <w:rPr>
                <w:rFonts w:hint="eastAsia" w:ascii="宋体" w:hAnsi="宋体" w:eastAsia="宋体" w:cs="Times New Roman"/>
                <w:b w:val="0"/>
                <w:bCs/>
                <w:szCs w:val="21"/>
                <w:lang w:eastAsia="zh-CN"/>
              </w:rPr>
              <w:t>报价</w:t>
            </w:r>
            <w:r>
              <w:rPr>
                <w:rFonts w:ascii="宋体" w:hAnsi="宋体" w:eastAsia="宋体" w:cs="Times New Roman"/>
                <w:b w:val="0"/>
                <w:bCs/>
                <w:szCs w:val="21"/>
              </w:rPr>
              <w:t>供应商提供会计师事务所出具的近</w:t>
            </w:r>
            <w:r>
              <w:rPr>
                <w:rFonts w:hint="eastAsia" w:ascii="宋体" w:hAnsi="宋体" w:eastAsia="宋体" w:cs="Times New Roman"/>
                <w:b w:val="0"/>
                <w:bCs/>
                <w:szCs w:val="21"/>
                <w:lang w:val="en-US" w:eastAsia="zh-CN"/>
              </w:rPr>
              <w:t>1</w:t>
            </w:r>
            <w:r>
              <w:rPr>
                <w:rFonts w:ascii="宋体" w:hAnsi="宋体" w:eastAsia="宋体" w:cs="Times New Roman"/>
                <w:b w:val="0"/>
                <w:bCs/>
                <w:szCs w:val="21"/>
              </w:rPr>
              <w:t>年</w:t>
            </w:r>
            <w:r>
              <w:rPr>
                <w:rFonts w:hint="eastAsia" w:ascii="宋体" w:hAnsi="宋体" w:eastAsia="宋体" w:cs="Times New Roman"/>
                <w:b w:val="0"/>
                <w:bCs/>
                <w:szCs w:val="21"/>
              </w:rPr>
              <w:t>（</w:t>
            </w:r>
            <w:r>
              <w:rPr>
                <w:rFonts w:hint="eastAsia" w:ascii="宋体" w:hAnsi="宋体" w:eastAsia="宋体" w:cs="Times New Roman"/>
                <w:b w:val="0"/>
                <w:bCs/>
                <w:szCs w:val="21"/>
                <w:lang w:val="en-US" w:eastAsia="zh-CN"/>
              </w:rPr>
              <w:t>2022年</w:t>
            </w:r>
            <w:r>
              <w:rPr>
                <w:rFonts w:hint="eastAsia" w:ascii="宋体" w:hAnsi="宋体" w:eastAsia="宋体" w:cs="Times New Roman"/>
                <w:b w:val="0"/>
                <w:bCs/>
                <w:szCs w:val="21"/>
              </w:rPr>
              <w:t>）</w:t>
            </w:r>
            <w:r>
              <w:rPr>
                <w:rFonts w:ascii="宋体" w:hAnsi="宋体" w:eastAsia="宋体" w:cs="Times New Roman"/>
                <w:b w:val="0"/>
                <w:bCs/>
                <w:szCs w:val="21"/>
              </w:rPr>
              <w:t>审计报告</w:t>
            </w:r>
            <w:r>
              <w:rPr>
                <w:rFonts w:hint="eastAsia" w:ascii="宋体" w:hAnsi="宋体" w:eastAsia="宋体" w:cs="Times New Roman"/>
                <w:b w:val="0"/>
                <w:bCs/>
                <w:szCs w:val="21"/>
                <w:lang w:eastAsia="zh-CN"/>
              </w:rPr>
              <w:t>或</w:t>
            </w:r>
            <w:r>
              <w:rPr>
                <w:rFonts w:hint="eastAsia" w:ascii="宋体" w:hAnsi="宋体" w:eastAsia="宋体" w:cs="Times New Roman"/>
                <w:b w:val="0"/>
                <w:bCs/>
                <w:szCs w:val="21"/>
              </w:rPr>
              <w:t>公司财务报告（表），主要内容至少包含资产负债表、利润表、现金流量表</w:t>
            </w:r>
          </w:p>
        </w:tc>
        <w:tc>
          <w:tcPr>
            <w:tcW w:w="930" w:type="dxa"/>
            <w:tcBorders>
              <w:top w:val="single" w:color="auto" w:sz="4" w:space="0"/>
              <w:left w:val="nil"/>
              <w:bottom w:val="single" w:color="auto" w:sz="4" w:space="0"/>
              <w:right w:val="single" w:color="auto" w:sz="4" w:space="0"/>
            </w:tcBorders>
            <w:noWrap w:val="0"/>
            <w:vAlign w:val="center"/>
          </w:tcPr>
          <w:p>
            <w:pPr>
              <w:spacing w:line="240" w:lineRule="auto"/>
              <w:rPr>
                <w:rFonts w:ascii="宋体" w:hAnsi="宋体" w:eastAsia="宋体" w:cs="Times New Roman"/>
                <w:b w:val="0"/>
                <w:bCs/>
                <w:szCs w:val="21"/>
              </w:rPr>
            </w:pPr>
          </w:p>
        </w:tc>
        <w:tc>
          <w:tcPr>
            <w:tcW w:w="707" w:type="dxa"/>
            <w:tcBorders>
              <w:top w:val="single" w:color="auto" w:sz="4" w:space="0"/>
              <w:left w:val="nil"/>
              <w:bottom w:val="single" w:color="auto" w:sz="4" w:space="0"/>
              <w:right w:val="single" w:color="auto" w:sz="4" w:space="0"/>
            </w:tcBorders>
            <w:noWrap w:val="0"/>
            <w:vAlign w:val="center"/>
          </w:tcPr>
          <w:p>
            <w:pPr>
              <w:spacing w:line="240" w:lineRule="auto"/>
              <w:rPr>
                <w:rFonts w:ascii="宋体" w:hAnsi="宋体" w:eastAsia="宋体" w:cs="Times New Roman"/>
                <w:b w:val="0"/>
                <w:bCs/>
                <w:szCs w:val="21"/>
              </w:rPr>
            </w:pPr>
          </w:p>
        </w:tc>
        <w:tc>
          <w:tcPr>
            <w:tcW w:w="3324" w:type="dxa"/>
            <w:tcBorders>
              <w:top w:val="single" w:color="auto" w:sz="4" w:space="0"/>
              <w:left w:val="nil"/>
              <w:bottom w:val="single" w:color="auto" w:sz="4" w:space="0"/>
              <w:right w:val="single" w:color="auto" w:sz="4" w:space="0"/>
            </w:tcBorders>
            <w:noWrap w:val="0"/>
            <w:vAlign w:val="center"/>
          </w:tcPr>
          <w:p>
            <w:pPr>
              <w:spacing w:line="240" w:lineRule="auto"/>
              <w:rPr>
                <w:rFonts w:ascii="宋体" w:hAnsi="宋体" w:eastAsia="宋体" w:cs="Times New Roman"/>
                <w:b w:val="0"/>
                <w:bCs/>
                <w:szCs w:val="21"/>
              </w:rPr>
            </w:pPr>
            <w:r>
              <w:rPr>
                <w:rFonts w:ascii="宋体" w:hAnsi="宋体" w:eastAsia="宋体" w:cs="Times New Roman"/>
                <w:b w:val="0"/>
                <w:bCs/>
                <w:szCs w:val="21"/>
              </w:rPr>
              <w:t>军队单位、事业单位无法提供审计报告的，可由上级管理部门批复的决算（或内部会计报表）代替。</w:t>
            </w:r>
          </w:p>
        </w:tc>
      </w:tr>
      <w:tr>
        <w:tblPrEx>
          <w:tblCellMar>
            <w:top w:w="0" w:type="dxa"/>
            <w:left w:w="108" w:type="dxa"/>
            <w:bottom w:w="0" w:type="dxa"/>
            <w:right w:w="108" w:type="dxa"/>
          </w:tblCellMar>
        </w:tblPrEx>
        <w:trPr>
          <w:trHeight w:val="760" w:hRule="exact"/>
          <w:jc w:val="center"/>
        </w:trPr>
        <w:tc>
          <w:tcPr>
            <w:tcW w:w="4474" w:type="dxa"/>
            <w:tcBorders>
              <w:top w:val="nil"/>
              <w:left w:val="single" w:color="auto" w:sz="4" w:space="0"/>
              <w:bottom w:val="single" w:color="auto" w:sz="4" w:space="0"/>
              <w:right w:val="single" w:color="auto" w:sz="4" w:space="0"/>
            </w:tcBorders>
            <w:noWrap w:val="0"/>
            <w:vAlign w:val="center"/>
          </w:tcPr>
          <w:p>
            <w:pPr>
              <w:spacing w:line="240" w:lineRule="auto"/>
              <w:rPr>
                <w:rFonts w:ascii="宋体" w:hAnsi="宋体" w:eastAsia="宋体" w:cs="Times New Roman"/>
                <w:b w:val="0"/>
                <w:bCs/>
                <w:szCs w:val="21"/>
              </w:rPr>
            </w:pPr>
            <w:r>
              <w:rPr>
                <w:rFonts w:ascii="宋体" w:hAnsi="宋体" w:eastAsia="宋体" w:cs="Times New Roman"/>
                <w:b w:val="0"/>
                <w:bCs/>
                <w:szCs w:val="21"/>
              </w:rPr>
              <w:t>9.</w:t>
            </w:r>
            <w:r>
              <w:rPr>
                <w:rFonts w:hint="eastAsia" w:ascii="宋体" w:hAnsi="宋体" w:eastAsia="宋体" w:cs="Times New Roman"/>
                <w:b w:val="0"/>
                <w:bCs/>
                <w:szCs w:val="21"/>
                <w:lang w:eastAsia="zh-CN"/>
              </w:rPr>
              <w:t>谈判</w:t>
            </w:r>
            <w:r>
              <w:rPr>
                <w:rFonts w:ascii="宋体" w:hAnsi="宋体" w:eastAsia="宋体" w:cs="Times New Roman"/>
                <w:b w:val="0"/>
                <w:bCs/>
                <w:szCs w:val="21"/>
              </w:rPr>
              <w:t>保证金满足</w:t>
            </w:r>
            <w:r>
              <w:rPr>
                <w:rFonts w:hint="eastAsia" w:ascii="宋体" w:hAnsi="宋体" w:eastAsia="宋体" w:cs="Times New Roman"/>
                <w:b w:val="0"/>
                <w:bCs/>
                <w:szCs w:val="21"/>
                <w:lang w:eastAsia="zh-CN"/>
              </w:rPr>
              <w:t>谈判</w:t>
            </w:r>
            <w:r>
              <w:rPr>
                <w:rFonts w:ascii="宋体" w:hAnsi="宋体" w:eastAsia="宋体" w:cs="Times New Roman"/>
                <w:b w:val="0"/>
                <w:bCs/>
                <w:szCs w:val="21"/>
              </w:rPr>
              <w:t>文件要求</w:t>
            </w:r>
          </w:p>
        </w:tc>
        <w:tc>
          <w:tcPr>
            <w:tcW w:w="930" w:type="dxa"/>
            <w:tcBorders>
              <w:top w:val="nil"/>
              <w:left w:val="nil"/>
              <w:bottom w:val="single" w:color="auto" w:sz="4" w:space="0"/>
              <w:right w:val="single" w:color="auto" w:sz="4" w:space="0"/>
            </w:tcBorders>
            <w:noWrap w:val="0"/>
            <w:vAlign w:val="center"/>
          </w:tcPr>
          <w:p>
            <w:pPr>
              <w:spacing w:line="240" w:lineRule="auto"/>
              <w:rPr>
                <w:rFonts w:ascii="宋体" w:hAnsi="宋体" w:eastAsia="宋体" w:cs="Times New Roman"/>
                <w:b w:val="0"/>
                <w:bCs/>
                <w:szCs w:val="21"/>
              </w:rPr>
            </w:pPr>
          </w:p>
        </w:tc>
        <w:tc>
          <w:tcPr>
            <w:tcW w:w="707" w:type="dxa"/>
            <w:tcBorders>
              <w:top w:val="nil"/>
              <w:left w:val="nil"/>
              <w:bottom w:val="single" w:color="auto" w:sz="4" w:space="0"/>
              <w:right w:val="single" w:color="auto" w:sz="4" w:space="0"/>
            </w:tcBorders>
            <w:noWrap w:val="0"/>
            <w:vAlign w:val="center"/>
          </w:tcPr>
          <w:p>
            <w:pPr>
              <w:spacing w:line="240" w:lineRule="auto"/>
              <w:rPr>
                <w:rFonts w:ascii="宋体" w:hAnsi="宋体" w:eastAsia="宋体" w:cs="Times New Roman"/>
                <w:b w:val="0"/>
                <w:bCs/>
                <w:szCs w:val="21"/>
              </w:rPr>
            </w:pPr>
          </w:p>
        </w:tc>
        <w:tc>
          <w:tcPr>
            <w:tcW w:w="3324" w:type="dxa"/>
            <w:tcBorders>
              <w:top w:val="nil"/>
              <w:left w:val="nil"/>
              <w:bottom w:val="single" w:color="auto" w:sz="4" w:space="0"/>
              <w:right w:val="single" w:color="auto" w:sz="4" w:space="0"/>
            </w:tcBorders>
            <w:noWrap w:val="0"/>
            <w:vAlign w:val="center"/>
          </w:tcPr>
          <w:p>
            <w:pPr>
              <w:spacing w:line="240" w:lineRule="auto"/>
              <w:rPr>
                <w:rFonts w:ascii="宋体" w:hAnsi="宋体" w:eastAsia="宋体" w:cs="Times New Roman"/>
                <w:b w:val="0"/>
                <w:bCs/>
                <w:szCs w:val="21"/>
              </w:rPr>
            </w:pPr>
            <w:r>
              <w:rPr>
                <w:rFonts w:hint="eastAsia" w:ascii="宋体" w:hAnsi="宋体" w:eastAsia="宋体" w:cs="Times New Roman"/>
                <w:b w:val="0"/>
                <w:bCs/>
                <w:szCs w:val="21"/>
              </w:rPr>
              <w:t>根据</w:t>
            </w:r>
            <w:r>
              <w:rPr>
                <w:rFonts w:hint="eastAsia" w:ascii="宋体" w:hAnsi="宋体" w:eastAsia="宋体" w:cs="Times New Roman"/>
                <w:b w:val="0"/>
                <w:bCs/>
                <w:szCs w:val="21"/>
                <w:lang w:eastAsia="zh-CN"/>
              </w:rPr>
              <w:t>报价</w:t>
            </w:r>
            <w:r>
              <w:rPr>
                <w:rFonts w:hint="eastAsia" w:ascii="宋体" w:hAnsi="宋体" w:eastAsia="宋体" w:cs="Times New Roman"/>
                <w:b w:val="0"/>
                <w:bCs/>
                <w:szCs w:val="21"/>
              </w:rPr>
              <w:t>人缴纳情况，采购机构进行现场核查缴纳情况</w:t>
            </w:r>
          </w:p>
        </w:tc>
      </w:tr>
      <w:tr>
        <w:tblPrEx>
          <w:tblCellMar>
            <w:top w:w="0" w:type="dxa"/>
            <w:left w:w="108" w:type="dxa"/>
            <w:bottom w:w="0" w:type="dxa"/>
            <w:right w:w="108" w:type="dxa"/>
          </w:tblCellMar>
        </w:tblPrEx>
        <w:trPr>
          <w:trHeight w:val="708" w:hRule="exact"/>
          <w:jc w:val="center"/>
        </w:trPr>
        <w:tc>
          <w:tcPr>
            <w:tcW w:w="9435" w:type="dxa"/>
            <w:gridSpan w:val="4"/>
            <w:tcBorders>
              <w:top w:val="nil"/>
              <w:left w:val="single" w:color="auto" w:sz="4" w:space="0"/>
              <w:bottom w:val="single" w:color="auto" w:sz="4" w:space="0"/>
              <w:right w:val="single" w:color="auto" w:sz="4" w:space="0"/>
            </w:tcBorders>
            <w:noWrap w:val="0"/>
            <w:vAlign w:val="center"/>
          </w:tcPr>
          <w:p>
            <w:pPr>
              <w:spacing w:line="240" w:lineRule="auto"/>
              <w:rPr>
                <w:rFonts w:ascii="宋体" w:hAnsi="宋体" w:eastAsia="宋体" w:cs="Times New Roman"/>
                <w:b w:val="0"/>
                <w:bCs/>
                <w:szCs w:val="21"/>
              </w:rPr>
            </w:pPr>
            <w:r>
              <w:rPr>
                <w:rFonts w:hint="eastAsia" w:ascii="宋体" w:hAnsi="宋体" w:eastAsia="宋体" w:cs="Times New Roman"/>
                <w:b w:val="0"/>
                <w:bCs/>
                <w:szCs w:val="21"/>
              </w:rPr>
              <w:t>二、特定资质审查</w:t>
            </w:r>
          </w:p>
        </w:tc>
      </w:tr>
      <w:tr>
        <w:tblPrEx>
          <w:tblCellMar>
            <w:top w:w="0" w:type="dxa"/>
            <w:left w:w="108" w:type="dxa"/>
            <w:bottom w:w="0" w:type="dxa"/>
            <w:right w:w="108" w:type="dxa"/>
          </w:tblCellMar>
        </w:tblPrEx>
        <w:trPr>
          <w:trHeight w:val="1282" w:hRule="exact"/>
          <w:jc w:val="center"/>
        </w:trPr>
        <w:tc>
          <w:tcPr>
            <w:tcW w:w="4474" w:type="dxa"/>
            <w:tcBorders>
              <w:top w:val="nil"/>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Times New Roman"/>
                <w:b w:val="0"/>
                <w:bCs/>
                <w:szCs w:val="21"/>
                <w:lang w:eastAsia="zh-CN"/>
              </w:rPr>
            </w:pPr>
            <w:r>
              <w:rPr>
                <w:rFonts w:hint="eastAsia" w:ascii="宋体" w:hAnsi="宋体" w:eastAsia="宋体" w:cs="Times New Roman"/>
                <w:b w:val="0"/>
                <w:bCs/>
                <w:szCs w:val="21"/>
                <w:lang w:val="en-US" w:eastAsia="zh-CN"/>
              </w:rPr>
              <w:t>1.</w:t>
            </w:r>
            <w:r>
              <w:rPr>
                <w:rFonts w:hint="eastAsia" w:ascii="宋体" w:hAnsi="宋体" w:eastAsia="宋体" w:cs="Times New Roman"/>
                <w:b w:val="0"/>
                <w:bCs/>
                <w:szCs w:val="21"/>
                <w:lang w:eastAsia="zh-CN"/>
              </w:rPr>
              <w:t>报价</w:t>
            </w:r>
            <w:r>
              <w:rPr>
                <w:rFonts w:hint="eastAsia" w:ascii="宋体" w:hAnsi="宋体" w:eastAsia="宋体" w:cs="Times New Roman"/>
                <w:b w:val="0"/>
                <w:bCs/>
                <w:szCs w:val="21"/>
              </w:rPr>
              <w:t>产品属于</w:t>
            </w:r>
            <w:r>
              <w:rPr>
                <w:rFonts w:hint="eastAsia" w:ascii="宋体" w:hAnsi="宋体" w:eastAsia="宋体" w:cs="Times New Roman"/>
                <w:b w:val="0"/>
                <w:bCs/>
                <w:szCs w:val="21"/>
                <w:lang w:eastAsia="zh-CN"/>
              </w:rPr>
              <w:t>报价</w:t>
            </w:r>
            <w:r>
              <w:rPr>
                <w:rFonts w:hint="eastAsia" w:ascii="宋体" w:hAnsi="宋体" w:eastAsia="宋体" w:cs="Times New Roman"/>
                <w:b w:val="0"/>
                <w:bCs/>
                <w:szCs w:val="21"/>
              </w:rPr>
              <w:t>人主营或主营范围。</w:t>
            </w:r>
            <w:r>
              <w:rPr>
                <w:rFonts w:hint="eastAsia" w:ascii="宋体" w:hAnsi="宋体" w:eastAsia="宋体" w:cs="Times New Roman"/>
                <w:b w:val="0"/>
                <w:bCs/>
                <w:szCs w:val="21"/>
                <w:lang w:eastAsia="zh-CN"/>
              </w:rPr>
              <w:t>（</w:t>
            </w:r>
            <w:r>
              <w:rPr>
                <w:rFonts w:hint="eastAsia" w:ascii="宋体" w:hAnsi="宋体" w:eastAsia="宋体" w:cs="Times New Roman"/>
                <w:b w:val="0"/>
                <w:bCs/>
                <w:szCs w:val="21"/>
              </w:rPr>
              <w:t>以</w:t>
            </w:r>
            <w:r>
              <w:rPr>
                <w:rFonts w:hint="eastAsia" w:ascii="宋体" w:hAnsi="宋体" w:eastAsia="宋体" w:cs="Times New Roman"/>
                <w:b w:val="0"/>
                <w:bCs/>
                <w:szCs w:val="21"/>
                <w:lang w:eastAsia="zh-CN"/>
              </w:rPr>
              <w:t>报价</w:t>
            </w:r>
            <w:r>
              <w:rPr>
                <w:rFonts w:hint="eastAsia" w:ascii="宋体" w:hAnsi="宋体" w:eastAsia="宋体" w:cs="Times New Roman"/>
                <w:b w:val="0"/>
                <w:bCs/>
                <w:szCs w:val="21"/>
              </w:rPr>
              <w:t>人提供的营业执照（事业单位法人证书）或生产许可证或经营许可证或备案凭证等证明材料为准。</w:t>
            </w:r>
            <w:r>
              <w:rPr>
                <w:rFonts w:hint="eastAsia" w:ascii="宋体" w:hAnsi="宋体" w:eastAsia="宋体" w:cs="Times New Roman"/>
                <w:b w:val="0"/>
                <w:bCs/>
                <w:szCs w:val="21"/>
                <w:lang w:eastAsia="zh-CN"/>
              </w:rPr>
              <w:t>）</w:t>
            </w:r>
          </w:p>
        </w:tc>
        <w:tc>
          <w:tcPr>
            <w:tcW w:w="930" w:type="dxa"/>
            <w:tcBorders>
              <w:top w:val="nil"/>
              <w:left w:val="nil"/>
              <w:bottom w:val="single" w:color="auto" w:sz="4" w:space="0"/>
              <w:right w:val="single" w:color="auto" w:sz="4" w:space="0"/>
            </w:tcBorders>
            <w:noWrap w:val="0"/>
            <w:vAlign w:val="center"/>
          </w:tcPr>
          <w:p>
            <w:pPr>
              <w:spacing w:line="240" w:lineRule="auto"/>
              <w:rPr>
                <w:rFonts w:ascii="宋体" w:hAnsi="宋体" w:eastAsia="宋体" w:cs="Times New Roman"/>
                <w:b w:val="0"/>
                <w:bCs/>
                <w:szCs w:val="21"/>
              </w:rPr>
            </w:pPr>
          </w:p>
        </w:tc>
        <w:tc>
          <w:tcPr>
            <w:tcW w:w="707" w:type="dxa"/>
            <w:tcBorders>
              <w:top w:val="nil"/>
              <w:left w:val="nil"/>
              <w:bottom w:val="single" w:color="auto" w:sz="4" w:space="0"/>
              <w:right w:val="single" w:color="auto" w:sz="4" w:space="0"/>
            </w:tcBorders>
            <w:noWrap w:val="0"/>
            <w:vAlign w:val="center"/>
          </w:tcPr>
          <w:p>
            <w:pPr>
              <w:spacing w:line="240" w:lineRule="auto"/>
              <w:rPr>
                <w:rFonts w:ascii="宋体" w:hAnsi="宋体" w:eastAsia="宋体" w:cs="Times New Roman"/>
                <w:b w:val="0"/>
                <w:bCs/>
                <w:szCs w:val="21"/>
              </w:rPr>
            </w:pPr>
          </w:p>
        </w:tc>
        <w:tc>
          <w:tcPr>
            <w:tcW w:w="3324" w:type="dxa"/>
            <w:tcBorders>
              <w:left w:val="nil"/>
              <w:bottom w:val="single" w:color="auto" w:sz="4" w:space="0"/>
              <w:right w:val="single" w:color="auto" w:sz="4" w:space="0"/>
            </w:tcBorders>
            <w:noWrap w:val="0"/>
            <w:vAlign w:val="center"/>
          </w:tcPr>
          <w:p>
            <w:pPr>
              <w:spacing w:line="240" w:lineRule="auto"/>
              <w:rPr>
                <w:rFonts w:ascii="宋体" w:hAnsi="宋体" w:eastAsia="宋体" w:cs="Times New Roman"/>
                <w:b w:val="0"/>
                <w:bCs/>
                <w:szCs w:val="21"/>
              </w:rPr>
            </w:pPr>
            <w:r>
              <w:rPr>
                <w:rFonts w:hint="eastAsia" w:ascii="宋体" w:hAnsi="宋体" w:eastAsia="宋体" w:cs="Times New Roman"/>
                <w:b w:val="0"/>
                <w:bCs/>
                <w:szCs w:val="21"/>
              </w:rPr>
              <w:t>根据特定资质证明材料判定</w:t>
            </w:r>
          </w:p>
        </w:tc>
      </w:tr>
      <w:tr>
        <w:tblPrEx>
          <w:tblCellMar>
            <w:top w:w="0" w:type="dxa"/>
            <w:left w:w="108" w:type="dxa"/>
            <w:bottom w:w="0" w:type="dxa"/>
            <w:right w:w="108" w:type="dxa"/>
          </w:tblCellMar>
        </w:tblPrEx>
        <w:trPr>
          <w:trHeight w:val="4068" w:hRule="exact"/>
          <w:jc w:val="center"/>
        </w:trPr>
        <w:tc>
          <w:tcPr>
            <w:tcW w:w="4474" w:type="dxa"/>
            <w:tcBorders>
              <w:top w:val="nil"/>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Times New Roman"/>
                <w:b w:val="0"/>
                <w:bCs/>
                <w:szCs w:val="21"/>
              </w:rPr>
            </w:pPr>
            <w:r>
              <w:rPr>
                <w:rFonts w:hint="eastAsia" w:ascii="宋体" w:hAnsi="宋体" w:eastAsia="宋体" w:cs="Times New Roman"/>
                <w:b w:val="0"/>
                <w:bCs/>
                <w:szCs w:val="21"/>
                <w:lang w:val="en-US" w:eastAsia="zh-CN"/>
              </w:rPr>
              <w:t>2.1</w:t>
            </w:r>
            <w:r>
              <w:rPr>
                <w:rFonts w:hint="eastAsia" w:ascii="宋体" w:hAnsi="宋体" w:eastAsia="宋体" w:cs="Times New Roman"/>
                <w:b w:val="0"/>
                <w:bCs/>
                <w:szCs w:val="21"/>
                <w:lang w:eastAsia="zh-CN"/>
              </w:rPr>
              <w:t>报价</w:t>
            </w:r>
            <w:r>
              <w:rPr>
                <w:rFonts w:hint="eastAsia" w:ascii="宋体" w:hAnsi="宋体" w:eastAsia="宋体" w:cs="Times New Roman"/>
                <w:b w:val="0"/>
                <w:bCs/>
                <w:szCs w:val="21"/>
              </w:rPr>
              <w:t>人如为生产厂家，则须提供营业执照，医疗器械生产许可证或医疗器械生产备案凭证，以及医疗器械经营许可证或医疗器械经营备案凭证；</w:t>
            </w:r>
          </w:p>
          <w:p>
            <w:pPr>
              <w:spacing w:line="240" w:lineRule="auto"/>
              <w:rPr>
                <w:rFonts w:hint="eastAsia" w:ascii="宋体" w:hAnsi="宋体" w:eastAsia="宋体" w:cs="Times New Roman"/>
                <w:b w:val="0"/>
                <w:bCs/>
                <w:szCs w:val="21"/>
                <w:lang w:eastAsia="zh-CN"/>
              </w:rPr>
            </w:pPr>
            <w:r>
              <w:rPr>
                <w:rFonts w:hint="eastAsia" w:ascii="宋体" w:hAnsi="宋体" w:eastAsia="宋体" w:cs="Times New Roman"/>
                <w:b w:val="0"/>
                <w:bCs/>
                <w:szCs w:val="21"/>
                <w:lang w:val="en-US" w:eastAsia="zh-CN"/>
              </w:rPr>
              <w:t>2</w:t>
            </w:r>
            <w:r>
              <w:rPr>
                <w:rFonts w:hint="eastAsia" w:ascii="宋体" w:hAnsi="宋体" w:eastAsia="宋体" w:cs="Times New Roman"/>
                <w:b w:val="0"/>
                <w:bCs/>
                <w:szCs w:val="21"/>
              </w:rPr>
              <w:t>.2</w:t>
            </w:r>
            <w:r>
              <w:rPr>
                <w:rFonts w:hint="eastAsia" w:ascii="宋体" w:hAnsi="宋体" w:eastAsia="宋体" w:cs="Times New Roman"/>
                <w:b w:val="0"/>
                <w:bCs/>
                <w:szCs w:val="21"/>
                <w:lang w:eastAsia="zh-CN"/>
              </w:rPr>
              <w:t>报价</w:t>
            </w:r>
            <w:r>
              <w:rPr>
                <w:rFonts w:hint="eastAsia" w:ascii="宋体" w:hAnsi="宋体" w:eastAsia="宋体" w:cs="Times New Roman"/>
                <w:b w:val="0"/>
                <w:bCs/>
                <w:szCs w:val="21"/>
              </w:rPr>
              <w:t>人如为产品代理商，须提供所</w:t>
            </w:r>
            <w:r>
              <w:rPr>
                <w:rFonts w:hint="eastAsia" w:ascii="宋体" w:hAnsi="宋体" w:eastAsia="宋体" w:cs="Times New Roman"/>
                <w:b w:val="0"/>
                <w:bCs/>
                <w:szCs w:val="21"/>
                <w:lang w:eastAsia="zh-CN"/>
              </w:rPr>
              <w:t>报</w:t>
            </w:r>
            <w:r>
              <w:rPr>
                <w:rFonts w:hint="eastAsia" w:ascii="宋体" w:hAnsi="宋体" w:eastAsia="宋体" w:cs="Times New Roman"/>
                <w:b w:val="0"/>
                <w:bCs/>
                <w:szCs w:val="21"/>
              </w:rPr>
              <w:t>产品生产厂家的营业执照、医疗器械生产许可证或医疗器械生产备案凭证（</w:t>
            </w:r>
            <w:r>
              <w:rPr>
                <w:rFonts w:hint="eastAsia" w:ascii="宋体" w:hAnsi="宋体" w:eastAsia="宋体" w:cs="Times New Roman"/>
                <w:b w:val="0"/>
                <w:bCs/>
                <w:szCs w:val="21"/>
                <w:lang w:eastAsia="zh-CN"/>
              </w:rPr>
              <w:t>进口产品除外</w:t>
            </w:r>
            <w:r>
              <w:rPr>
                <w:rFonts w:hint="eastAsia" w:ascii="宋体" w:hAnsi="宋体" w:eastAsia="宋体" w:cs="Times New Roman"/>
                <w:b w:val="0"/>
                <w:bCs/>
                <w:szCs w:val="21"/>
              </w:rPr>
              <w:t>）</w:t>
            </w:r>
            <w:r>
              <w:rPr>
                <w:rFonts w:hint="eastAsia" w:ascii="宋体" w:hAnsi="宋体" w:eastAsia="宋体" w:cs="Times New Roman"/>
                <w:b w:val="0"/>
                <w:bCs/>
                <w:szCs w:val="21"/>
                <w:lang w:eastAsia="zh-CN"/>
              </w:rPr>
              <w:t>，</w:t>
            </w:r>
            <w:r>
              <w:rPr>
                <w:rFonts w:hint="eastAsia" w:ascii="宋体" w:hAnsi="宋体" w:eastAsia="宋体" w:cs="Times New Roman"/>
                <w:b w:val="0"/>
                <w:bCs/>
                <w:szCs w:val="21"/>
              </w:rPr>
              <w:t>各级代理商及</w:t>
            </w:r>
            <w:r>
              <w:rPr>
                <w:rFonts w:hint="eastAsia" w:ascii="宋体" w:hAnsi="宋体" w:eastAsia="宋体" w:cs="Times New Roman"/>
                <w:b w:val="0"/>
                <w:bCs/>
                <w:szCs w:val="21"/>
                <w:lang w:eastAsia="zh-CN"/>
              </w:rPr>
              <w:t>报价</w:t>
            </w:r>
            <w:r>
              <w:rPr>
                <w:rFonts w:hint="eastAsia" w:ascii="宋体" w:hAnsi="宋体" w:eastAsia="宋体" w:cs="Times New Roman"/>
                <w:b w:val="0"/>
                <w:bCs/>
                <w:szCs w:val="21"/>
              </w:rPr>
              <w:t>人还须提供营业执照、医疗器械经营许可证（备案凭证）</w:t>
            </w:r>
            <w:r>
              <w:rPr>
                <w:rFonts w:hint="eastAsia" w:ascii="宋体" w:hAnsi="宋体" w:eastAsia="宋体" w:cs="Times New Roman"/>
                <w:b w:val="0"/>
                <w:bCs/>
                <w:szCs w:val="21"/>
                <w:lang w:eastAsia="zh-CN"/>
              </w:rPr>
              <w:t>。</w:t>
            </w:r>
          </w:p>
          <w:p>
            <w:pPr>
              <w:spacing w:line="240" w:lineRule="auto"/>
              <w:rPr>
                <w:rFonts w:ascii="宋体" w:hAnsi="宋体" w:eastAsia="宋体" w:cs="Times New Roman"/>
                <w:b w:val="0"/>
                <w:bCs/>
                <w:szCs w:val="21"/>
              </w:rPr>
            </w:pPr>
            <w:r>
              <w:rPr>
                <w:rFonts w:hint="eastAsia" w:ascii="宋体" w:hAnsi="宋体" w:eastAsia="宋体" w:cs="Times New Roman"/>
                <w:b w:val="0"/>
                <w:bCs/>
                <w:szCs w:val="21"/>
                <w:lang w:val="en-US" w:eastAsia="zh-CN"/>
              </w:rPr>
              <w:t>2.3</w:t>
            </w:r>
            <w:r>
              <w:rPr>
                <w:rFonts w:hint="eastAsia" w:ascii="宋体" w:hAnsi="宋体" w:eastAsia="宋体" w:cs="Times New Roman"/>
                <w:b w:val="0"/>
                <w:bCs/>
                <w:szCs w:val="21"/>
              </w:rPr>
              <w:t>如为进口产品，需提供全国总代理授予的代理授权书（若为外文授权书则需提供中文翻译件）；并同时需提供所</w:t>
            </w:r>
            <w:r>
              <w:rPr>
                <w:rFonts w:hint="eastAsia" w:ascii="宋体" w:hAnsi="宋体" w:eastAsia="宋体" w:cs="Times New Roman"/>
                <w:b w:val="0"/>
                <w:bCs/>
                <w:szCs w:val="21"/>
                <w:lang w:eastAsia="zh-CN"/>
              </w:rPr>
              <w:t>报</w:t>
            </w:r>
            <w:r>
              <w:rPr>
                <w:rFonts w:hint="eastAsia" w:ascii="宋体" w:hAnsi="宋体" w:eastAsia="宋体" w:cs="Times New Roman"/>
                <w:b w:val="0"/>
                <w:bCs/>
                <w:szCs w:val="21"/>
              </w:rPr>
              <w:t>产品制造商给全国总代理的授权或关系说明（包括各级授权人出具的授权书</w:t>
            </w:r>
            <w:r>
              <w:rPr>
                <w:rFonts w:hint="eastAsia" w:ascii="宋体" w:hAnsi="宋体" w:eastAsia="宋体" w:cs="Times New Roman"/>
                <w:b w:val="0"/>
                <w:bCs/>
                <w:szCs w:val="21"/>
                <w:lang w:eastAsia="zh-CN"/>
              </w:rPr>
              <w:t>，资质证明材料需追溯至国内总代</w:t>
            </w:r>
            <w:r>
              <w:rPr>
                <w:rFonts w:hint="eastAsia" w:ascii="宋体" w:hAnsi="宋体" w:eastAsia="宋体" w:cs="Times New Roman"/>
                <w:b w:val="0"/>
                <w:bCs/>
                <w:szCs w:val="21"/>
              </w:rPr>
              <w:t>）。</w:t>
            </w:r>
          </w:p>
        </w:tc>
        <w:tc>
          <w:tcPr>
            <w:tcW w:w="930" w:type="dxa"/>
            <w:tcBorders>
              <w:top w:val="nil"/>
              <w:left w:val="nil"/>
              <w:bottom w:val="single" w:color="auto" w:sz="4" w:space="0"/>
              <w:right w:val="single" w:color="auto" w:sz="4" w:space="0"/>
            </w:tcBorders>
            <w:noWrap w:val="0"/>
            <w:vAlign w:val="center"/>
          </w:tcPr>
          <w:p>
            <w:pPr>
              <w:spacing w:line="240" w:lineRule="auto"/>
              <w:rPr>
                <w:rFonts w:ascii="宋体" w:hAnsi="宋体" w:eastAsia="宋体" w:cs="Times New Roman"/>
                <w:b w:val="0"/>
                <w:bCs/>
                <w:szCs w:val="21"/>
              </w:rPr>
            </w:pPr>
          </w:p>
        </w:tc>
        <w:tc>
          <w:tcPr>
            <w:tcW w:w="707" w:type="dxa"/>
            <w:tcBorders>
              <w:top w:val="nil"/>
              <w:left w:val="nil"/>
              <w:bottom w:val="single" w:color="auto" w:sz="4" w:space="0"/>
              <w:right w:val="single" w:color="auto" w:sz="4" w:space="0"/>
            </w:tcBorders>
            <w:noWrap w:val="0"/>
            <w:vAlign w:val="center"/>
          </w:tcPr>
          <w:p>
            <w:pPr>
              <w:spacing w:line="240" w:lineRule="auto"/>
              <w:rPr>
                <w:rFonts w:ascii="宋体" w:hAnsi="宋体" w:eastAsia="宋体" w:cs="Times New Roman"/>
                <w:b w:val="0"/>
                <w:bCs/>
                <w:szCs w:val="21"/>
              </w:rPr>
            </w:pPr>
          </w:p>
        </w:tc>
        <w:tc>
          <w:tcPr>
            <w:tcW w:w="3324" w:type="dxa"/>
            <w:tcBorders>
              <w:left w:val="nil"/>
              <w:bottom w:val="single" w:color="auto" w:sz="4" w:space="0"/>
              <w:right w:val="single" w:color="auto" w:sz="4" w:space="0"/>
            </w:tcBorders>
            <w:noWrap w:val="0"/>
            <w:vAlign w:val="center"/>
          </w:tcPr>
          <w:p>
            <w:pPr>
              <w:spacing w:line="240" w:lineRule="auto"/>
              <w:rPr>
                <w:rFonts w:ascii="宋体" w:hAnsi="宋体" w:eastAsia="宋体" w:cs="Times New Roman"/>
                <w:b w:val="0"/>
                <w:bCs/>
                <w:szCs w:val="21"/>
              </w:rPr>
            </w:pPr>
          </w:p>
        </w:tc>
      </w:tr>
      <w:tr>
        <w:tblPrEx>
          <w:tblCellMar>
            <w:top w:w="0" w:type="dxa"/>
            <w:left w:w="108" w:type="dxa"/>
            <w:bottom w:w="0" w:type="dxa"/>
            <w:right w:w="108" w:type="dxa"/>
          </w:tblCellMar>
        </w:tblPrEx>
        <w:trPr>
          <w:trHeight w:val="1684" w:hRule="exact"/>
          <w:jc w:val="center"/>
        </w:trPr>
        <w:tc>
          <w:tcPr>
            <w:tcW w:w="4474" w:type="dxa"/>
            <w:tcBorders>
              <w:top w:val="nil"/>
              <w:left w:val="single" w:color="auto" w:sz="4" w:space="0"/>
              <w:bottom w:val="single" w:color="auto" w:sz="4" w:space="0"/>
              <w:right w:val="single" w:color="auto" w:sz="4" w:space="0"/>
            </w:tcBorders>
            <w:noWrap w:val="0"/>
            <w:vAlign w:val="center"/>
          </w:tcPr>
          <w:p>
            <w:pPr>
              <w:spacing w:line="240" w:lineRule="auto"/>
              <w:rPr>
                <w:rFonts w:ascii="宋体" w:hAnsi="宋体" w:eastAsia="宋体" w:cs="Times New Roman"/>
                <w:b w:val="0"/>
                <w:bCs/>
                <w:szCs w:val="21"/>
              </w:rPr>
            </w:pPr>
            <w:r>
              <w:rPr>
                <w:rFonts w:hint="eastAsia" w:ascii="宋体" w:hAnsi="宋体" w:eastAsia="宋体" w:cs="Times New Roman"/>
                <w:b w:val="0"/>
                <w:bCs/>
                <w:szCs w:val="21"/>
                <w:lang w:val="en-US" w:eastAsia="zh-CN"/>
              </w:rPr>
              <w:t>3</w:t>
            </w:r>
            <w:r>
              <w:rPr>
                <w:rFonts w:hint="eastAsia" w:ascii="宋体" w:hAnsi="宋体" w:cs="Times New Roman"/>
                <w:b w:val="0"/>
                <w:bCs/>
                <w:szCs w:val="21"/>
                <w:lang w:val="en-US" w:eastAsia="zh-CN"/>
              </w:rPr>
              <w:t>.</w:t>
            </w:r>
            <w:r>
              <w:rPr>
                <w:rFonts w:hint="eastAsia" w:ascii="宋体" w:hAnsi="宋体" w:eastAsia="宋体" w:cs="Times New Roman"/>
                <w:b w:val="0"/>
                <w:bCs/>
                <w:szCs w:val="21"/>
              </w:rPr>
              <w:t>所</w:t>
            </w:r>
            <w:r>
              <w:rPr>
                <w:rFonts w:hint="eastAsia" w:ascii="宋体" w:hAnsi="宋体" w:eastAsia="宋体" w:cs="Times New Roman"/>
                <w:b w:val="0"/>
                <w:bCs/>
                <w:szCs w:val="21"/>
                <w:lang w:eastAsia="zh-CN"/>
              </w:rPr>
              <w:t>报</w:t>
            </w:r>
            <w:r>
              <w:rPr>
                <w:rFonts w:hint="eastAsia" w:ascii="宋体" w:hAnsi="宋体" w:eastAsia="宋体" w:cs="Times New Roman"/>
                <w:b w:val="0"/>
                <w:bCs/>
                <w:szCs w:val="21"/>
              </w:rPr>
              <w:t>产品还需提供医疗器械注册登记表或医疗器械生产产品登记表或医疗器械注册（备案）证。</w:t>
            </w:r>
          </w:p>
        </w:tc>
        <w:tc>
          <w:tcPr>
            <w:tcW w:w="930" w:type="dxa"/>
            <w:tcBorders>
              <w:top w:val="nil"/>
              <w:left w:val="nil"/>
              <w:bottom w:val="single" w:color="auto" w:sz="4" w:space="0"/>
              <w:right w:val="single" w:color="auto" w:sz="4" w:space="0"/>
            </w:tcBorders>
            <w:noWrap w:val="0"/>
            <w:vAlign w:val="center"/>
          </w:tcPr>
          <w:p>
            <w:pPr>
              <w:spacing w:line="240" w:lineRule="auto"/>
              <w:rPr>
                <w:rFonts w:ascii="宋体" w:hAnsi="宋体" w:eastAsia="宋体" w:cs="Times New Roman"/>
                <w:b w:val="0"/>
                <w:bCs/>
                <w:szCs w:val="21"/>
              </w:rPr>
            </w:pPr>
          </w:p>
        </w:tc>
        <w:tc>
          <w:tcPr>
            <w:tcW w:w="707" w:type="dxa"/>
            <w:tcBorders>
              <w:top w:val="nil"/>
              <w:left w:val="nil"/>
              <w:bottom w:val="single" w:color="auto" w:sz="4" w:space="0"/>
              <w:right w:val="single" w:color="auto" w:sz="4" w:space="0"/>
            </w:tcBorders>
            <w:noWrap w:val="0"/>
            <w:vAlign w:val="center"/>
          </w:tcPr>
          <w:p>
            <w:pPr>
              <w:spacing w:line="240" w:lineRule="auto"/>
              <w:rPr>
                <w:rFonts w:ascii="宋体" w:hAnsi="宋体" w:eastAsia="宋体" w:cs="Times New Roman"/>
                <w:b w:val="0"/>
                <w:bCs/>
                <w:szCs w:val="21"/>
              </w:rPr>
            </w:pPr>
          </w:p>
        </w:tc>
        <w:tc>
          <w:tcPr>
            <w:tcW w:w="3324" w:type="dxa"/>
            <w:tcBorders>
              <w:left w:val="nil"/>
              <w:bottom w:val="single" w:color="auto" w:sz="4" w:space="0"/>
              <w:right w:val="single" w:color="auto" w:sz="4" w:space="0"/>
            </w:tcBorders>
            <w:noWrap w:val="0"/>
            <w:vAlign w:val="center"/>
          </w:tcPr>
          <w:p>
            <w:pPr>
              <w:spacing w:line="240" w:lineRule="auto"/>
              <w:rPr>
                <w:rFonts w:ascii="宋体" w:hAnsi="宋体" w:eastAsia="宋体" w:cs="Times New Roman"/>
                <w:b w:val="0"/>
                <w:bCs/>
                <w:szCs w:val="21"/>
              </w:rPr>
            </w:pPr>
          </w:p>
        </w:tc>
      </w:tr>
      <w:tr>
        <w:tblPrEx>
          <w:tblCellMar>
            <w:top w:w="0" w:type="dxa"/>
            <w:left w:w="108" w:type="dxa"/>
            <w:bottom w:w="0" w:type="dxa"/>
            <w:right w:w="108" w:type="dxa"/>
          </w:tblCellMar>
        </w:tblPrEx>
        <w:trPr>
          <w:trHeight w:val="677" w:hRule="atLeast"/>
          <w:jc w:val="center"/>
        </w:trPr>
        <w:tc>
          <w:tcPr>
            <w:tcW w:w="9435" w:type="dxa"/>
            <w:gridSpan w:val="4"/>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rPr>
              <w:t>说明：</w:t>
            </w:r>
            <w:r>
              <w:rPr>
                <w:rFonts w:ascii="宋体" w:hAnsi="宋体" w:cs="宋体"/>
                <w:b w:val="0"/>
                <w:bCs/>
                <w:szCs w:val="21"/>
              </w:rPr>
              <w:t xml:space="preserve">1.合格打“√”, </w:t>
            </w:r>
            <w:r>
              <w:rPr>
                <w:rFonts w:hint="eastAsia" w:ascii="宋体" w:hAnsi="宋体" w:cs="宋体"/>
                <w:b w:val="0"/>
                <w:bCs/>
                <w:szCs w:val="21"/>
              </w:rPr>
              <w:t>不合格打“×”。</w:t>
            </w:r>
            <w:r>
              <w:rPr>
                <w:rFonts w:ascii="宋体" w:hAnsi="宋体" w:cs="宋体"/>
                <w:b w:val="0"/>
                <w:bCs/>
                <w:szCs w:val="21"/>
              </w:rPr>
              <w:t>2.有一项内容不合格，综合评定为不合格。</w:t>
            </w:r>
          </w:p>
        </w:tc>
      </w:tr>
    </w:tbl>
    <w:p>
      <w:pPr>
        <w:spacing w:line="560" w:lineRule="exact"/>
        <w:rPr>
          <w:rFonts w:hint="eastAsia"/>
          <w:b w:val="0"/>
          <w:bCs/>
          <w:szCs w:val="21"/>
        </w:rPr>
      </w:pPr>
      <w:r>
        <w:rPr>
          <w:rFonts w:hint="eastAsia"/>
          <w:b w:val="0"/>
          <w:bCs/>
          <w:szCs w:val="21"/>
        </w:rPr>
        <w:t>审查人员签名：</w:t>
      </w:r>
      <w:r>
        <w:rPr>
          <w:b w:val="0"/>
          <w:bCs/>
          <w:szCs w:val="21"/>
        </w:rPr>
        <w:t xml:space="preserve">                                                       </w:t>
      </w:r>
      <w:r>
        <w:rPr>
          <w:rFonts w:hint="eastAsia"/>
          <w:b w:val="0"/>
          <w:bCs/>
          <w:szCs w:val="21"/>
        </w:rPr>
        <w:t>年　　月　　日</w:t>
      </w:r>
    </w:p>
    <w:p>
      <w:pPr>
        <w:rPr>
          <w:rFonts w:hint="eastAsia"/>
          <w:b w:val="0"/>
          <w:bCs/>
          <w:szCs w:val="21"/>
        </w:rPr>
      </w:pPr>
      <w:r>
        <w:rPr>
          <w:rFonts w:hint="eastAsia"/>
          <w:b w:val="0"/>
          <w:bCs/>
          <w:szCs w:val="21"/>
        </w:rPr>
        <w:br w:type="page"/>
      </w:r>
    </w:p>
    <w:p>
      <w:pPr>
        <w:pStyle w:val="5"/>
        <w:keepNext/>
        <w:keepLines/>
        <w:pageBreakBefore w:val="0"/>
        <w:widowControl w:val="0"/>
        <w:kinsoku/>
        <w:wordWrap/>
        <w:overflowPunct/>
        <w:topLinePunct w:val="0"/>
        <w:autoSpaceDE/>
        <w:autoSpaceDN/>
        <w:bidi w:val="0"/>
        <w:adjustRightInd/>
        <w:snapToGrid/>
        <w:spacing w:before="157" w:beforeLines="50" w:after="157" w:afterLines="50" w:line="560" w:lineRule="exact"/>
        <w:textAlignment w:val="auto"/>
        <w:outlineLvl w:val="2"/>
        <w:rPr>
          <w:rFonts w:ascii="黑体" w:hAnsi="黑体" w:eastAsia="黑体"/>
          <w:b w:val="0"/>
          <w:bCs/>
          <w:sz w:val="28"/>
          <w:szCs w:val="28"/>
        </w:rPr>
      </w:pPr>
      <w:bookmarkStart w:id="787" w:name="_Toc20480"/>
      <w:bookmarkStart w:id="788" w:name="_Toc25852"/>
      <w:bookmarkStart w:id="789" w:name="_Toc3310"/>
      <w:bookmarkStart w:id="790" w:name="_Toc14164"/>
      <w:bookmarkStart w:id="791" w:name="_Toc29127"/>
      <w:bookmarkStart w:id="792" w:name="_Toc11331"/>
      <w:bookmarkStart w:id="793" w:name="_Toc18582"/>
      <w:bookmarkStart w:id="794" w:name="_Toc2883"/>
      <w:r>
        <w:rPr>
          <w:rFonts w:hint="eastAsia" w:ascii="黑体" w:hAnsi="黑体" w:eastAsia="黑体"/>
          <w:b w:val="0"/>
          <w:bCs/>
          <w:sz w:val="28"/>
          <w:szCs w:val="28"/>
        </w:rPr>
        <w:t>附表</w:t>
      </w:r>
      <w:r>
        <w:rPr>
          <w:rFonts w:ascii="黑体" w:hAnsi="黑体" w:eastAsia="黑体"/>
          <w:b w:val="0"/>
          <w:bCs/>
          <w:sz w:val="28"/>
          <w:szCs w:val="28"/>
        </w:rPr>
        <w:t xml:space="preserve">2 </w:t>
      </w:r>
      <w:r>
        <w:rPr>
          <w:rFonts w:hint="eastAsia" w:ascii="黑体" w:hAnsi="黑体" w:eastAsia="黑体"/>
          <w:b w:val="0"/>
          <w:bCs/>
          <w:sz w:val="28"/>
          <w:szCs w:val="28"/>
        </w:rPr>
        <w:t>符合性审查表</w:t>
      </w:r>
      <w:bookmarkEnd w:id="787"/>
      <w:bookmarkEnd w:id="788"/>
      <w:bookmarkEnd w:id="789"/>
      <w:bookmarkEnd w:id="790"/>
      <w:bookmarkEnd w:id="791"/>
      <w:bookmarkEnd w:id="792"/>
      <w:bookmarkEnd w:id="793"/>
      <w:bookmarkEnd w:id="794"/>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ascii="黑体" w:hAnsi="黑体" w:eastAsia="黑体"/>
          <w:b w:val="0"/>
          <w:bCs/>
          <w:sz w:val="36"/>
          <w:szCs w:val="36"/>
        </w:rPr>
      </w:pPr>
      <w:bookmarkStart w:id="795" w:name="_Hlk112524041"/>
      <w:r>
        <w:rPr>
          <w:rFonts w:hint="eastAsia" w:ascii="黑体" w:hAnsi="黑体" w:eastAsia="黑体"/>
          <w:b w:val="0"/>
          <w:bCs/>
          <w:sz w:val="36"/>
          <w:szCs w:val="36"/>
        </w:rPr>
        <w:t>符合性审查表</w:t>
      </w:r>
    </w:p>
    <w:bookmarkEnd w:id="795"/>
    <w:p>
      <w:pPr>
        <w:spacing w:line="560" w:lineRule="exact"/>
        <w:rPr>
          <w:b w:val="0"/>
          <w:bCs/>
          <w:szCs w:val="21"/>
        </w:rPr>
      </w:pPr>
      <w:r>
        <w:rPr>
          <w:rFonts w:hint="eastAsia"/>
          <w:b w:val="0"/>
          <w:bCs/>
          <w:szCs w:val="21"/>
        </w:rPr>
        <w:t>项目名称：</w:t>
      </w:r>
      <w:r>
        <w:rPr>
          <w:b w:val="0"/>
          <w:bCs/>
          <w:szCs w:val="21"/>
          <w:u w:val="single"/>
        </w:rPr>
        <w:t xml:space="preserve">                  </w:t>
      </w:r>
      <w:r>
        <w:rPr>
          <w:b w:val="0"/>
          <w:bCs/>
          <w:szCs w:val="21"/>
        </w:rPr>
        <w:t xml:space="preserve">      </w:t>
      </w:r>
      <w:r>
        <w:rPr>
          <w:rFonts w:hint="eastAsia"/>
          <w:b w:val="0"/>
          <w:bCs/>
          <w:szCs w:val="21"/>
        </w:rPr>
        <w:t>项目编号：</w:t>
      </w:r>
      <w:r>
        <w:rPr>
          <w:b w:val="0"/>
          <w:bCs/>
          <w:szCs w:val="21"/>
          <w:u w:val="single"/>
        </w:rPr>
        <w:t xml:space="preserve">                    </w:t>
      </w:r>
      <w:r>
        <w:rPr>
          <w:b w:val="0"/>
          <w:bCs/>
          <w:szCs w:val="21"/>
        </w:rPr>
        <w:t xml:space="preserve">         </w:t>
      </w:r>
      <w:r>
        <w:rPr>
          <w:rFonts w:hint="eastAsia"/>
          <w:b w:val="0"/>
          <w:bCs/>
          <w:szCs w:val="21"/>
        </w:rPr>
        <w:t>包号：</w:t>
      </w:r>
      <w:r>
        <w:rPr>
          <w:b w:val="0"/>
          <w:bCs/>
          <w:szCs w:val="21"/>
          <w:u w:val="single"/>
        </w:rPr>
        <w:t xml:space="preserve">          </w:t>
      </w:r>
    </w:p>
    <w:tbl>
      <w:tblPr>
        <w:tblStyle w:val="44"/>
        <w:tblW w:w="9435" w:type="dxa"/>
        <w:jc w:val="center"/>
        <w:tblLayout w:type="fixed"/>
        <w:tblCellMar>
          <w:top w:w="0" w:type="dxa"/>
          <w:left w:w="108" w:type="dxa"/>
          <w:bottom w:w="0" w:type="dxa"/>
          <w:right w:w="108" w:type="dxa"/>
        </w:tblCellMar>
      </w:tblPr>
      <w:tblGrid>
        <w:gridCol w:w="3843"/>
        <w:gridCol w:w="1134"/>
        <w:gridCol w:w="1134"/>
        <w:gridCol w:w="3324"/>
      </w:tblGrid>
      <w:tr>
        <w:tblPrEx>
          <w:tblCellMar>
            <w:top w:w="0" w:type="dxa"/>
            <w:left w:w="108" w:type="dxa"/>
            <w:bottom w:w="0" w:type="dxa"/>
            <w:right w:w="108" w:type="dxa"/>
          </w:tblCellMar>
        </w:tblPrEx>
        <w:trPr>
          <w:trHeight w:val="356" w:hRule="atLeast"/>
          <w:jc w:val="center"/>
        </w:trPr>
        <w:tc>
          <w:tcPr>
            <w:tcW w:w="384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审查项目</w:t>
            </w:r>
          </w:p>
        </w:tc>
        <w:tc>
          <w:tcPr>
            <w:tcW w:w="226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是否合格</w:t>
            </w:r>
          </w:p>
        </w:tc>
        <w:tc>
          <w:tcPr>
            <w:tcW w:w="3324" w:type="dxa"/>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具体要求</w:t>
            </w:r>
          </w:p>
        </w:tc>
      </w:tr>
      <w:tr>
        <w:tblPrEx>
          <w:tblCellMar>
            <w:top w:w="0" w:type="dxa"/>
            <w:left w:w="108" w:type="dxa"/>
            <w:bottom w:w="0" w:type="dxa"/>
            <w:right w:w="108" w:type="dxa"/>
          </w:tblCellMar>
        </w:tblPrEx>
        <w:trPr>
          <w:trHeight w:val="635" w:hRule="exact"/>
          <w:jc w:val="center"/>
        </w:trPr>
        <w:tc>
          <w:tcPr>
            <w:tcW w:w="3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szCs w:val="21"/>
              </w:rPr>
            </w:pPr>
            <w:r>
              <w:rPr>
                <w:rFonts w:hint="eastAsia" w:ascii="宋体" w:hAnsi="宋体" w:eastAsia="宋体" w:cs="宋体"/>
                <w:b w:val="0"/>
                <w:bCs/>
                <w:szCs w:val="21"/>
                <w:lang w:eastAsia="zh-CN"/>
              </w:rPr>
              <w:t>报价</w:t>
            </w:r>
            <w:r>
              <w:rPr>
                <w:rFonts w:hint="eastAsia" w:ascii="宋体" w:hAnsi="宋体" w:eastAsia="宋体" w:cs="宋体"/>
                <w:b w:val="0"/>
                <w:bCs/>
                <w:szCs w:val="21"/>
              </w:rPr>
              <w:t>供应商1</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w:t>
            </w:r>
          </w:p>
        </w:tc>
        <w:tc>
          <w:tcPr>
            <w:tcW w:w="3324"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黑体" w:hAnsi="宋体" w:eastAsia="黑体" w:cs="宋体"/>
                <w:b w:val="0"/>
                <w:bCs/>
                <w:szCs w:val="21"/>
              </w:rPr>
            </w:pPr>
          </w:p>
        </w:tc>
      </w:tr>
      <w:tr>
        <w:tblPrEx>
          <w:tblCellMar>
            <w:top w:w="0" w:type="dxa"/>
            <w:left w:w="108" w:type="dxa"/>
            <w:bottom w:w="0" w:type="dxa"/>
            <w:right w:w="108" w:type="dxa"/>
          </w:tblCellMar>
        </w:tblPrEx>
        <w:trPr>
          <w:trHeight w:val="650"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auto"/>
              <w:jc w:val="left"/>
              <w:rPr>
                <w:rFonts w:ascii="宋体" w:hAnsi="宋体"/>
                <w:b w:val="0"/>
                <w:bCs/>
                <w:szCs w:val="21"/>
              </w:rPr>
            </w:pPr>
            <w:r>
              <w:rPr>
                <w:rFonts w:ascii="宋体" w:hAnsi="宋体"/>
                <w:b w:val="0"/>
                <w:bCs/>
                <w:szCs w:val="21"/>
              </w:rPr>
              <w:t>1.</w:t>
            </w:r>
            <w:r>
              <w:rPr>
                <w:rFonts w:hint="eastAsia" w:ascii="宋体" w:hAnsi="宋体"/>
                <w:b w:val="0"/>
                <w:bCs/>
                <w:szCs w:val="21"/>
                <w:lang w:eastAsia="zh-CN"/>
              </w:rPr>
              <w:t>报价</w:t>
            </w:r>
            <w:r>
              <w:rPr>
                <w:rFonts w:hint="eastAsia" w:ascii="宋体" w:hAnsi="宋体"/>
                <w:b w:val="0"/>
                <w:bCs/>
                <w:szCs w:val="21"/>
              </w:rPr>
              <w:t>文件签署、盖章齐全完整</w:t>
            </w:r>
          </w:p>
        </w:tc>
        <w:tc>
          <w:tcPr>
            <w:tcW w:w="1134" w:type="dxa"/>
            <w:tcBorders>
              <w:top w:val="nil"/>
              <w:left w:val="nil"/>
              <w:bottom w:val="single" w:color="auto" w:sz="4" w:space="0"/>
              <w:right w:val="single" w:color="auto" w:sz="4" w:space="0"/>
            </w:tcBorders>
            <w:noWrap w:val="0"/>
            <w:vAlign w:val="center"/>
          </w:tcPr>
          <w:p>
            <w:pPr>
              <w:widowControl/>
              <w:spacing w:line="240" w:lineRule="auto"/>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auto"/>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auto"/>
              <w:jc w:val="left"/>
              <w:rPr>
                <w:rFonts w:ascii="宋体" w:hAnsi="宋体" w:cs="宋体"/>
                <w:b w:val="0"/>
                <w:bCs/>
                <w:szCs w:val="21"/>
              </w:rPr>
            </w:pPr>
          </w:p>
        </w:tc>
      </w:tr>
      <w:tr>
        <w:tblPrEx>
          <w:tblCellMar>
            <w:top w:w="0" w:type="dxa"/>
            <w:left w:w="108" w:type="dxa"/>
            <w:bottom w:w="0" w:type="dxa"/>
            <w:right w:w="108" w:type="dxa"/>
          </w:tblCellMar>
        </w:tblPrEx>
        <w:trPr>
          <w:trHeight w:val="592"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auto"/>
              <w:jc w:val="left"/>
              <w:rPr>
                <w:rFonts w:ascii="宋体" w:hAnsi="宋体"/>
                <w:b w:val="0"/>
                <w:bCs/>
                <w:szCs w:val="21"/>
              </w:rPr>
            </w:pPr>
            <w:r>
              <w:rPr>
                <w:rFonts w:ascii="宋体" w:hAnsi="宋体"/>
                <w:b w:val="0"/>
                <w:bCs/>
                <w:szCs w:val="21"/>
              </w:rPr>
              <w:t>2.</w:t>
            </w:r>
            <w:r>
              <w:rPr>
                <w:rFonts w:hint="eastAsia" w:ascii="宋体" w:hAnsi="宋体"/>
                <w:b w:val="0"/>
                <w:bCs/>
                <w:szCs w:val="21"/>
                <w:lang w:eastAsia="zh-CN"/>
              </w:rPr>
              <w:t>报价</w:t>
            </w:r>
            <w:r>
              <w:rPr>
                <w:rFonts w:hint="eastAsia" w:ascii="宋体" w:hAnsi="宋体"/>
                <w:b w:val="0"/>
                <w:bCs/>
                <w:szCs w:val="21"/>
              </w:rPr>
              <w:t>文件有效期满足</w:t>
            </w:r>
            <w:r>
              <w:rPr>
                <w:rFonts w:hint="eastAsia" w:ascii="宋体" w:hAnsi="宋体"/>
                <w:b w:val="0"/>
                <w:bCs/>
                <w:szCs w:val="21"/>
                <w:lang w:eastAsia="zh-CN"/>
              </w:rPr>
              <w:t>谈判</w:t>
            </w:r>
            <w:r>
              <w:rPr>
                <w:rFonts w:hint="eastAsia" w:ascii="宋体" w:hAnsi="宋体"/>
                <w:b w:val="0"/>
                <w:bCs/>
                <w:szCs w:val="21"/>
              </w:rPr>
              <w:t>文件要求</w:t>
            </w:r>
          </w:p>
        </w:tc>
        <w:tc>
          <w:tcPr>
            <w:tcW w:w="1134" w:type="dxa"/>
            <w:tcBorders>
              <w:top w:val="nil"/>
              <w:left w:val="nil"/>
              <w:bottom w:val="single" w:color="auto" w:sz="4" w:space="0"/>
              <w:right w:val="single" w:color="auto" w:sz="4" w:space="0"/>
            </w:tcBorders>
            <w:noWrap w:val="0"/>
            <w:vAlign w:val="center"/>
          </w:tcPr>
          <w:p>
            <w:pPr>
              <w:widowControl/>
              <w:spacing w:line="240" w:lineRule="auto"/>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auto"/>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auto"/>
              <w:jc w:val="left"/>
              <w:rPr>
                <w:rFonts w:ascii="宋体" w:hAnsi="宋体" w:cs="宋体"/>
                <w:b w:val="0"/>
                <w:bCs/>
                <w:szCs w:val="21"/>
              </w:rPr>
            </w:pPr>
          </w:p>
        </w:tc>
      </w:tr>
      <w:tr>
        <w:tblPrEx>
          <w:tblCellMar>
            <w:top w:w="0" w:type="dxa"/>
            <w:left w:w="108" w:type="dxa"/>
            <w:bottom w:w="0" w:type="dxa"/>
            <w:right w:w="108" w:type="dxa"/>
          </w:tblCellMar>
        </w:tblPrEx>
        <w:trPr>
          <w:trHeight w:val="896"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auto"/>
              <w:jc w:val="left"/>
              <w:rPr>
                <w:rFonts w:ascii="宋体" w:hAnsi="宋体"/>
                <w:b w:val="0"/>
                <w:bCs/>
                <w:szCs w:val="21"/>
              </w:rPr>
            </w:pPr>
            <w:r>
              <w:rPr>
                <w:rFonts w:ascii="宋体" w:hAnsi="宋体"/>
                <w:b w:val="0"/>
                <w:bCs/>
                <w:szCs w:val="21"/>
              </w:rPr>
              <w:t>3.</w:t>
            </w:r>
            <w:r>
              <w:rPr>
                <w:rFonts w:hint="eastAsia" w:ascii="宋体" w:hAnsi="宋体"/>
                <w:b w:val="0"/>
                <w:bCs/>
                <w:szCs w:val="21"/>
              </w:rPr>
              <w:t>结算方式、交货方式等</w:t>
            </w:r>
            <w:r>
              <w:rPr>
                <w:rFonts w:ascii="宋体" w:hAnsi="宋体"/>
                <w:b w:val="0"/>
                <w:bCs/>
                <w:szCs w:val="21"/>
              </w:rPr>
              <w:t>“</w:t>
            </w:r>
            <w:r>
              <w:rPr>
                <w:rFonts w:hint="eastAsia" w:ascii="宋体" w:hAnsi="宋体"/>
                <w:b w:val="0"/>
                <w:bCs/>
                <w:szCs w:val="21"/>
              </w:rPr>
              <w:t>★</w:t>
            </w:r>
            <w:r>
              <w:rPr>
                <w:rFonts w:ascii="宋体" w:hAnsi="宋体"/>
                <w:b w:val="0"/>
                <w:bCs/>
                <w:szCs w:val="21"/>
              </w:rPr>
              <w:t>”号</w:t>
            </w:r>
            <w:r>
              <w:rPr>
                <w:rFonts w:hint="eastAsia" w:ascii="宋体" w:hAnsi="宋体"/>
                <w:b w:val="0"/>
                <w:bCs/>
                <w:szCs w:val="21"/>
              </w:rPr>
              <w:t>商务</w:t>
            </w:r>
            <w:r>
              <w:rPr>
                <w:rFonts w:ascii="宋体" w:hAnsi="宋体"/>
                <w:b w:val="0"/>
                <w:bCs/>
                <w:szCs w:val="21"/>
              </w:rPr>
              <w:t>条款</w:t>
            </w:r>
            <w:r>
              <w:rPr>
                <w:rFonts w:hint="eastAsia" w:ascii="宋体" w:hAnsi="宋体"/>
                <w:b w:val="0"/>
                <w:bCs/>
                <w:szCs w:val="21"/>
              </w:rPr>
              <w:t>满足</w:t>
            </w:r>
            <w:r>
              <w:rPr>
                <w:rFonts w:hint="eastAsia" w:ascii="宋体" w:hAnsi="宋体"/>
                <w:b w:val="0"/>
                <w:bCs/>
                <w:szCs w:val="21"/>
                <w:lang w:eastAsia="zh-CN"/>
              </w:rPr>
              <w:t>谈判</w:t>
            </w:r>
            <w:r>
              <w:rPr>
                <w:rFonts w:hint="eastAsia" w:ascii="宋体" w:hAnsi="宋体"/>
                <w:b w:val="0"/>
                <w:bCs/>
                <w:szCs w:val="21"/>
              </w:rPr>
              <w:t>文件要求</w:t>
            </w:r>
          </w:p>
        </w:tc>
        <w:tc>
          <w:tcPr>
            <w:tcW w:w="1134" w:type="dxa"/>
            <w:tcBorders>
              <w:top w:val="nil"/>
              <w:left w:val="nil"/>
              <w:bottom w:val="single" w:color="auto" w:sz="4" w:space="0"/>
              <w:right w:val="single" w:color="auto" w:sz="4" w:space="0"/>
            </w:tcBorders>
            <w:noWrap w:val="0"/>
            <w:vAlign w:val="center"/>
          </w:tcPr>
          <w:p>
            <w:pPr>
              <w:widowControl/>
              <w:spacing w:line="240" w:lineRule="auto"/>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auto"/>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auto"/>
              <w:jc w:val="left"/>
              <w:rPr>
                <w:rFonts w:ascii="宋体" w:hAnsi="宋体"/>
                <w:b w:val="0"/>
                <w:bCs/>
                <w:szCs w:val="21"/>
              </w:rPr>
            </w:pPr>
            <w:r>
              <w:rPr>
                <w:rFonts w:hint="eastAsia" w:ascii="宋体" w:hAnsi="宋体" w:cs="宋体"/>
                <w:b w:val="0"/>
                <w:bCs/>
                <w:szCs w:val="21"/>
              </w:rPr>
              <w:t>商务专家对</w:t>
            </w:r>
            <w:r>
              <w:rPr>
                <w:rFonts w:hint="eastAsia" w:ascii="宋体" w:hAnsi="宋体" w:cs="宋体"/>
                <w:b w:val="0"/>
                <w:bCs/>
                <w:szCs w:val="21"/>
                <w:lang w:eastAsia="zh-CN"/>
              </w:rPr>
              <w:t>谈判</w:t>
            </w:r>
            <w:r>
              <w:rPr>
                <w:rFonts w:hint="eastAsia" w:ascii="宋体" w:hAnsi="宋体" w:cs="宋体"/>
                <w:b w:val="0"/>
                <w:bCs/>
                <w:szCs w:val="21"/>
              </w:rPr>
              <w:t>文件第五章“采购项目技术和商务要求”中“★”号条款响应情况做出判定</w:t>
            </w:r>
          </w:p>
        </w:tc>
      </w:tr>
      <w:tr>
        <w:tblPrEx>
          <w:tblCellMar>
            <w:top w:w="0" w:type="dxa"/>
            <w:left w:w="108" w:type="dxa"/>
            <w:bottom w:w="0" w:type="dxa"/>
            <w:right w:w="108" w:type="dxa"/>
          </w:tblCellMar>
        </w:tblPrEx>
        <w:trPr>
          <w:trHeight w:val="976"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auto"/>
              <w:jc w:val="left"/>
              <w:rPr>
                <w:rFonts w:ascii="宋体" w:hAnsi="宋体"/>
                <w:b w:val="0"/>
                <w:bCs/>
                <w:szCs w:val="21"/>
              </w:rPr>
            </w:pPr>
            <w:r>
              <w:rPr>
                <w:rFonts w:ascii="宋体" w:hAnsi="宋体"/>
                <w:b w:val="0"/>
                <w:bCs/>
                <w:szCs w:val="21"/>
              </w:rPr>
              <w:t>4.</w:t>
            </w:r>
            <w:r>
              <w:rPr>
                <w:rFonts w:hint="eastAsia" w:ascii="宋体" w:hAnsi="宋体"/>
                <w:b w:val="0"/>
                <w:bCs/>
                <w:szCs w:val="21"/>
              </w:rPr>
              <w:t>技术要求</w:t>
            </w:r>
            <w:r>
              <w:rPr>
                <w:rFonts w:ascii="宋体" w:hAnsi="宋体"/>
                <w:b w:val="0"/>
                <w:bCs/>
                <w:szCs w:val="21"/>
              </w:rPr>
              <w:t>“</w:t>
            </w:r>
            <w:r>
              <w:rPr>
                <w:rFonts w:hint="eastAsia" w:ascii="宋体" w:hAnsi="宋体"/>
                <w:b w:val="0"/>
                <w:bCs/>
                <w:szCs w:val="21"/>
              </w:rPr>
              <w:t>★</w:t>
            </w:r>
            <w:r>
              <w:rPr>
                <w:rFonts w:ascii="宋体" w:hAnsi="宋体"/>
                <w:b w:val="0"/>
                <w:bCs/>
                <w:szCs w:val="21"/>
              </w:rPr>
              <w:t>”号</w:t>
            </w:r>
            <w:r>
              <w:rPr>
                <w:rFonts w:hint="eastAsia" w:ascii="宋体" w:hAnsi="宋体"/>
                <w:b w:val="0"/>
                <w:bCs/>
                <w:szCs w:val="21"/>
              </w:rPr>
              <w:t>技术</w:t>
            </w:r>
            <w:r>
              <w:rPr>
                <w:rFonts w:ascii="宋体" w:hAnsi="宋体"/>
                <w:b w:val="0"/>
                <w:bCs/>
                <w:szCs w:val="21"/>
              </w:rPr>
              <w:t>条款</w:t>
            </w:r>
            <w:r>
              <w:rPr>
                <w:rFonts w:hint="eastAsia" w:ascii="宋体" w:hAnsi="宋体"/>
                <w:b w:val="0"/>
                <w:bCs/>
                <w:szCs w:val="21"/>
              </w:rPr>
              <w:t>满足</w:t>
            </w:r>
            <w:r>
              <w:rPr>
                <w:rFonts w:hint="eastAsia" w:ascii="宋体" w:hAnsi="宋体"/>
                <w:b w:val="0"/>
                <w:bCs/>
                <w:szCs w:val="21"/>
                <w:lang w:eastAsia="zh-CN"/>
              </w:rPr>
              <w:t>谈判</w:t>
            </w:r>
            <w:r>
              <w:rPr>
                <w:rFonts w:hint="eastAsia" w:ascii="宋体" w:hAnsi="宋体"/>
                <w:b w:val="0"/>
                <w:bCs/>
                <w:szCs w:val="21"/>
              </w:rPr>
              <w:t>文件要求</w:t>
            </w:r>
          </w:p>
        </w:tc>
        <w:tc>
          <w:tcPr>
            <w:tcW w:w="1134" w:type="dxa"/>
            <w:tcBorders>
              <w:top w:val="nil"/>
              <w:left w:val="nil"/>
              <w:bottom w:val="single" w:color="auto" w:sz="4" w:space="0"/>
              <w:right w:val="single" w:color="auto" w:sz="4" w:space="0"/>
            </w:tcBorders>
            <w:noWrap w:val="0"/>
            <w:vAlign w:val="center"/>
          </w:tcPr>
          <w:p>
            <w:pPr>
              <w:widowControl/>
              <w:spacing w:line="240" w:lineRule="auto"/>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auto"/>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auto"/>
              <w:jc w:val="left"/>
              <w:rPr>
                <w:rFonts w:ascii="宋体" w:hAnsi="宋体" w:cs="宋体"/>
                <w:b w:val="0"/>
                <w:bCs/>
                <w:szCs w:val="21"/>
              </w:rPr>
            </w:pPr>
            <w:r>
              <w:rPr>
                <w:rFonts w:hint="eastAsia" w:ascii="宋体" w:hAnsi="宋体" w:cs="宋体"/>
                <w:b w:val="0"/>
                <w:bCs/>
                <w:szCs w:val="21"/>
              </w:rPr>
              <w:t>技术专家对</w:t>
            </w:r>
            <w:r>
              <w:rPr>
                <w:rFonts w:hint="eastAsia" w:ascii="宋体" w:hAnsi="宋体" w:cs="宋体"/>
                <w:b w:val="0"/>
                <w:bCs/>
                <w:szCs w:val="21"/>
                <w:lang w:eastAsia="zh-CN"/>
              </w:rPr>
              <w:t>谈判</w:t>
            </w:r>
            <w:r>
              <w:rPr>
                <w:rFonts w:hint="eastAsia" w:ascii="宋体" w:hAnsi="宋体" w:cs="宋体"/>
                <w:b w:val="0"/>
                <w:bCs/>
                <w:szCs w:val="21"/>
              </w:rPr>
              <w:t>文件第五章“采购项目技术和商务要求”中“★”号条款响应情况做出判定</w:t>
            </w:r>
          </w:p>
        </w:tc>
      </w:tr>
      <w:tr>
        <w:tblPrEx>
          <w:tblCellMar>
            <w:top w:w="0" w:type="dxa"/>
            <w:left w:w="108" w:type="dxa"/>
            <w:bottom w:w="0" w:type="dxa"/>
            <w:right w:w="108" w:type="dxa"/>
          </w:tblCellMar>
        </w:tblPrEx>
        <w:trPr>
          <w:trHeight w:val="5794" w:hRule="exact"/>
          <w:jc w:val="center"/>
        </w:trPr>
        <w:tc>
          <w:tcPr>
            <w:tcW w:w="3843"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宋体" w:hAnsi="宋体" w:cs="宋体"/>
                <w:b w:val="0"/>
                <w:bCs/>
                <w:szCs w:val="21"/>
              </w:rPr>
            </w:pPr>
            <w:r>
              <w:rPr>
                <w:rFonts w:ascii="宋体" w:hAnsi="宋体"/>
                <w:b w:val="0"/>
                <w:bCs/>
                <w:szCs w:val="21"/>
              </w:rPr>
              <w:t>5.其他实质性内容（</w:t>
            </w:r>
            <w:r>
              <w:rPr>
                <w:rFonts w:hint="eastAsia" w:ascii="宋体" w:hAnsi="宋体"/>
                <w:b w:val="0"/>
                <w:bCs/>
                <w:szCs w:val="21"/>
                <w:lang w:eastAsia="zh-CN"/>
              </w:rPr>
              <w:t>谈判</w:t>
            </w:r>
            <w:r>
              <w:rPr>
                <w:rFonts w:ascii="宋体" w:hAnsi="宋体"/>
                <w:b w:val="0"/>
                <w:bCs/>
                <w:szCs w:val="21"/>
              </w:rPr>
              <w:t>文件中明确的其他无效</w:t>
            </w:r>
            <w:r>
              <w:rPr>
                <w:rFonts w:hint="eastAsia" w:ascii="宋体" w:hAnsi="宋体"/>
                <w:b w:val="0"/>
                <w:bCs/>
                <w:szCs w:val="21"/>
                <w:lang w:eastAsia="zh-CN"/>
              </w:rPr>
              <w:t>报价</w:t>
            </w:r>
            <w:r>
              <w:rPr>
                <w:rFonts w:ascii="宋体" w:hAnsi="宋体"/>
                <w:b w:val="0"/>
                <w:bCs/>
                <w:szCs w:val="21"/>
              </w:rPr>
              <w:t>情形）</w:t>
            </w:r>
          </w:p>
        </w:tc>
        <w:tc>
          <w:tcPr>
            <w:tcW w:w="1134" w:type="dxa"/>
            <w:tcBorders>
              <w:top w:val="nil"/>
              <w:left w:val="nil"/>
              <w:bottom w:val="single" w:color="auto" w:sz="4" w:space="0"/>
              <w:right w:val="single" w:color="auto" w:sz="4" w:space="0"/>
            </w:tcBorders>
            <w:noWrap w:val="0"/>
            <w:vAlign w:val="center"/>
          </w:tcPr>
          <w:p>
            <w:pPr>
              <w:widowControl/>
              <w:spacing w:line="240" w:lineRule="auto"/>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auto"/>
              <w:jc w:val="left"/>
              <w:rPr>
                <w:rFonts w:ascii="宋体" w:hAnsi="宋体" w:cs="宋体"/>
                <w:b w:val="0"/>
                <w:bCs/>
                <w:szCs w:val="21"/>
                <w:highlight w:val="none"/>
              </w:rPr>
            </w:pPr>
          </w:p>
        </w:tc>
        <w:tc>
          <w:tcPr>
            <w:tcW w:w="3324" w:type="dxa"/>
            <w:tcBorders>
              <w:top w:val="nil"/>
              <w:left w:val="nil"/>
              <w:bottom w:val="single" w:color="auto" w:sz="4" w:space="0"/>
              <w:right w:val="single" w:color="auto" w:sz="4" w:space="0"/>
            </w:tcBorders>
            <w:noWrap w:val="0"/>
            <w:vAlign w:val="center"/>
          </w:tcPr>
          <w:p>
            <w:pPr>
              <w:adjustRightInd/>
              <w:snapToGrid/>
              <w:spacing w:line="24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1.</w:t>
            </w:r>
            <w:r>
              <w:rPr>
                <w:rFonts w:hint="eastAsia" w:ascii="宋体" w:hAnsi="宋体" w:eastAsia="宋体" w:cs="Times New Roman"/>
                <w:color w:val="auto"/>
                <w:sz w:val="21"/>
                <w:szCs w:val="21"/>
                <w:highlight w:val="none"/>
                <w:lang w:eastAsia="zh-CN"/>
              </w:rPr>
              <w:t>报价</w:t>
            </w:r>
            <w:r>
              <w:rPr>
                <w:rFonts w:hint="eastAsia" w:ascii="宋体" w:hAnsi="宋体" w:eastAsia="宋体" w:cs="Times New Roman"/>
                <w:color w:val="auto"/>
                <w:sz w:val="21"/>
                <w:szCs w:val="21"/>
                <w:highlight w:val="none"/>
              </w:rPr>
              <w:t>产品满足</w:t>
            </w:r>
            <w:r>
              <w:rPr>
                <w:rFonts w:hint="eastAsia" w:ascii="宋体" w:hAnsi="宋体" w:eastAsia="宋体" w:cs="Times New Roman"/>
                <w:color w:val="auto"/>
                <w:sz w:val="21"/>
                <w:szCs w:val="21"/>
                <w:highlight w:val="none"/>
                <w:lang w:eastAsia="zh-CN"/>
              </w:rPr>
              <w:t>谈判</w:t>
            </w:r>
            <w:r>
              <w:rPr>
                <w:rFonts w:hint="eastAsia" w:ascii="宋体" w:hAnsi="宋体" w:eastAsia="宋体" w:cs="Times New Roman"/>
                <w:color w:val="auto"/>
                <w:sz w:val="21"/>
                <w:szCs w:val="21"/>
                <w:highlight w:val="none"/>
              </w:rPr>
              <w:t>文件配置清单要求（名称不一致时需在备注中提供情况说明）。</w:t>
            </w:r>
          </w:p>
          <w:p>
            <w:pPr>
              <w:adjustRightInd/>
              <w:snapToGrid/>
              <w:spacing w:line="24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【《商务技术文件》中“交货清单”满足</w:t>
            </w:r>
            <w:r>
              <w:rPr>
                <w:rFonts w:hint="eastAsia" w:ascii="宋体" w:hAnsi="宋体" w:eastAsia="宋体" w:cs="Times New Roman"/>
                <w:color w:val="auto"/>
                <w:sz w:val="21"/>
                <w:szCs w:val="21"/>
                <w:highlight w:val="none"/>
                <w:lang w:eastAsia="zh-CN"/>
              </w:rPr>
              <w:t>谈判</w:t>
            </w:r>
            <w:r>
              <w:rPr>
                <w:rFonts w:hint="eastAsia" w:ascii="宋体" w:hAnsi="宋体" w:eastAsia="宋体" w:cs="Times New Roman"/>
                <w:color w:val="auto"/>
                <w:sz w:val="21"/>
                <w:szCs w:val="21"/>
                <w:highlight w:val="none"/>
              </w:rPr>
              <w:t>文件</w:t>
            </w:r>
            <w:r>
              <w:rPr>
                <w:rFonts w:hint="eastAsia" w:ascii="宋体" w:hAnsi="宋体" w:eastAsia="宋体" w:cs="Times New Roman"/>
                <w:color w:val="auto"/>
                <w:sz w:val="21"/>
                <w:szCs w:val="21"/>
                <w:highlight w:val="none"/>
                <w:lang w:eastAsia="zh-CN"/>
              </w:rPr>
              <w:t>第五章</w:t>
            </w:r>
            <w:r>
              <w:rPr>
                <w:rFonts w:hint="eastAsia" w:ascii="宋体" w:hAnsi="宋体" w:eastAsia="宋体" w:cs="Times New Roman"/>
                <w:color w:val="auto"/>
                <w:sz w:val="21"/>
                <w:szCs w:val="21"/>
                <w:highlight w:val="none"/>
              </w:rPr>
              <w:t>--采购项目技术和商务要求“二</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rPr>
              <w:t>技术要求”中配置清单要求；</w:t>
            </w:r>
            <w:r>
              <w:rPr>
                <w:rFonts w:hint="eastAsia" w:ascii="宋体" w:hAnsi="宋体" w:eastAsia="宋体" w:cs="Times New Roman"/>
                <w:color w:val="auto"/>
                <w:sz w:val="21"/>
                <w:szCs w:val="21"/>
                <w:highlight w:val="none"/>
                <w:lang w:eastAsia="zh-CN"/>
              </w:rPr>
              <w:t>报价</w:t>
            </w:r>
            <w:r>
              <w:rPr>
                <w:rFonts w:hint="eastAsia" w:ascii="宋体" w:hAnsi="宋体" w:eastAsia="宋体" w:cs="Times New Roman"/>
                <w:color w:val="auto"/>
                <w:sz w:val="21"/>
                <w:szCs w:val="21"/>
                <w:highlight w:val="none"/>
              </w:rPr>
              <w:t>产品对应交货清单名称不一致时可在备注中进行说明】</w:t>
            </w:r>
          </w:p>
          <w:p>
            <w:pPr>
              <w:adjustRightInd/>
              <w:snapToGrid/>
              <w:spacing w:line="240" w:lineRule="auto"/>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2.</w:t>
            </w:r>
            <w:r>
              <w:rPr>
                <w:rFonts w:hint="eastAsia" w:ascii="宋体" w:hAnsi="宋体" w:eastAsia="宋体" w:cs="Times New Roman"/>
                <w:color w:val="auto"/>
                <w:sz w:val="21"/>
                <w:szCs w:val="21"/>
                <w:highlight w:val="none"/>
              </w:rPr>
              <w:t>本文件</w:t>
            </w:r>
            <w:r>
              <w:rPr>
                <w:rFonts w:hint="eastAsia" w:ascii="宋体" w:hAnsi="宋体" w:eastAsia="宋体" w:cs="Times New Roman"/>
                <w:color w:val="auto"/>
                <w:sz w:val="21"/>
                <w:szCs w:val="21"/>
                <w:highlight w:val="none"/>
                <w:lang w:eastAsia="zh-CN"/>
              </w:rPr>
              <w:t>第五章</w:t>
            </w:r>
            <w:r>
              <w:rPr>
                <w:rFonts w:hint="eastAsia" w:ascii="宋体" w:hAnsi="宋体" w:eastAsia="宋体" w:cs="Times New Roman"/>
                <w:color w:val="auto"/>
                <w:sz w:val="21"/>
                <w:szCs w:val="21"/>
                <w:highlight w:val="none"/>
              </w:rPr>
              <w:t>--二</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rPr>
              <w:t>技术要求中产品用途及使用范围</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lang w:val="en-US" w:eastAsia="zh-CN"/>
              </w:rPr>
              <w:t>安装场地、使用环境均需逐条响应，</w:t>
            </w:r>
            <w:r>
              <w:rPr>
                <w:rFonts w:hint="eastAsia" w:ascii="宋体" w:hAnsi="宋体" w:eastAsia="宋体" w:cs="Times New Roman"/>
                <w:color w:val="auto"/>
                <w:sz w:val="21"/>
                <w:szCs w:val="21"/>
                <w:highlight w:val="none"/>
              </w:rPr>
              <w:t>否则视为无效</w:t>
            </w:r>
            <w:r>
              <w:rPr>
                <w:rFonts w:hint="eastAsia" w:ascii="宋体" w:hAnsi="宋体" w:eastAsia="宋体" w:cs="Times New Roman"/>
                <w:color w:val="auto"/>
                <w:sz w:val="21"/>
                <w:szCs w:val="21"/>
                <w:highlight w:val="none"/>
                <w:lang w:eastAsia="zh-CN"/>
              </w:rPr>
              <w:t>报价</w:t>
            </w:r>
          </w:p>
          <w:p>
            <w:pPr>
              <w:adjustRightInd/>
              <w:snapToGrid/>
              <w:spacing w:line="24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3.</w:t>
            </w:r>
            <w:r>
              <w:rPr>
                <w:rFonts w:hint="eastAsia" w:ascii="宋体" w:hAnsi="宋体" w:eastAsia="宋体" w:cs="Times New Roman"/>
                <w:color w:val="auto"/>
                <w:sz w:val="21"/>
                <w:szCs w:val="21"/>
                <w:highlight w:val="none"/>
              </w:rPr>
              <w:t>“第五章--二、技术要求”</w:t>
            </w:r>
            <w:r>
              <w:rPr>
                <w:rFonts w:hint="eastAsia" w:ascii="宋体" w:hAnsi="宋体" w:eastAsia="宋体" w:cs="Times New Roman"/>
                <w:color w:val="auto"/>
                <w:sz w:val="21"/>
                <w:szCs w:val="21"/>
                <w:highlight w:val="none"/>
                <w:lang w:val="en-US" w:eastAsia="zh-CN"/>
              </w:rPr>
              <w:t>中技术参数要求均需逐条响应</w:t>
            </w:r>
            <w:r>
              <w:rPr>
                <w:rFonts w:hint="eastAsia" w:ascii="宋体" w:hAnsi="宋体" w:eastAsia="宋体" w:cs="Times New Roman"/>
                <w:color w:val="auto"/>
                <w:sz w:val="21"/>
                <w:szCs w:val="21"/>
                <w:highlight w:val="none"/>
              </w:rPr>
              <w:t>，否则视为无效</w:t>
            </w:r>
            <w:r>
              <w:rPr>
                <w:rFonts w:hint="eastAsia" w:ascii="宋体" w:hAnsi="宋体" w:eastAsia="宋体" w:cs="Times New Roman"/>
                <w:color w:val="auto"/>
                <w:sz w:val="21"/>
                <w:szCs w:val="21"/>
                <w:highlight w:val="none"/>
                <w:lang w:eastAsia="zh-CN"/>
              </w:rPr>
              <w:t>报价</w:t>
            </w:r>
            <w:r>
              <w:rPr>
                <w:rFonts w:hint="eastAsia" w:ascii="宋体" w:hAnsi="宋体" w:eastAsia="宋体" w:cs="Times New Roman"/>
                <w:color w:val="auto"/>
                <w:sz w:val="21"/>
                <w:szCs w:val="21"/>
                <w:highlight w:val="none"/>
              </w:rPr>
              <w:t>；</w:t>
            </w:r>
          </w:p>
          <w:p>
            <w:pPr>
              <w:adjustRightInd/>
              <w:snapToGrid/>
              <w:spacing w:line="240" w:lineRule="auto"/>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lang w:val="en-US" w:eastAsia="zh-CN"/>
              </w:rPr>
              <w:t>4.</w:t>
            </w:r>
            <w:r>
              <w:rPr>
                <w:rFonts w:hint="eastAsia" w:ascii="宋体" w:hAnsi="宋体" w:eastAsia="宋体" w:cs="Times New Roman"/>
                <w:color w:val="auto"/>
                <w:sz w:val="21"/>
                <w:szCs w:val="21"/>
                <w:highlight w:val="none"/>
                <w:lang w:eastAsia="zh-CN"/>
              </w:rPr>
              <w:t>谈判</w:t>
            </w:r>
            <w:r>
              <w:rPr>
                <w:rFonts w:hint="eastAsia" w:ascii="宋体" w:hAnsi="宋体" w:eastAsia="宋体" w:cs="Times New Roman"/>
                <w:color w:val="auto"/>
                <w:sz w:val="21"/>
                <w:szCs w:val="21"/>
                <w:highlight w:val="none"/>
              </w:rPr>
              <w:t>文件中明确的其他无效</w:t>
            </w:r>
            <w:r>
              <w:rPr>
                <w:rFonts w:hint="eastAsia" w:ascii="宋体" w:hAnsi="宋体" w:eastAsia="宋体" w:cs="Times New Roman"/>
                <w:color w:val="auto"/>
                <w:sz w:val="21"/>
                <w:szCs w:val="21"/>
                <w:highlight w:val="none"/>
                <w:lang w:eastAsia="zh-CN"/>
              </w:rPr>
              <w:t>报价</w:t>
            </w:r>
            <w:r>
              <w:rPr>
                <w:rFonts w:hint="eastAsia" w:ascii="宋体" w:hAnsi="宋体" w:eastAsia="宋体" w:cs="Times New Roman"/>
                <w:color w:val="auto"/>
                <w:sz w:val="21"/>
                <w:szCs w:val="21"/>
                <w:highlight w:val="none"/>
              </w:rPr>
              <w:t>情形</w:t>
            </w:r>
            <w:r>
              <w:rPr>
                <w:rFonts w:hint="eastAsia" w:ascii="宋体" w:hAnsi="宋体" w:eastAsia="宋体" w:cs="Times New Roman"/>
                <w:color w:val="auto"/>
                <w:sz w:val="21"/>
                <w:szCs w:val="21"/>
                <w:highlight w:val="none"/>
                <w:lang w:eastAsia="zh-CN"/>
              </w:rPr>
              <w:t>。</w:t>
            </w:r>
          </w:p>
          <w:p>
            <w:pPr>
              <w:adjustRightInd/>
              <w:snapToGrid/>
              <w:spacing w:line="240" w:lineRule="auto"/>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5.</w:t>
            </w:r>
            <w:r>
              <w:rPr>
                <w:rFonts w:hint="eastAsia" w:ascii="宋体" w:hAnsi="宋体" w:eastAsia="宋体" w:cs="Times New Roman"/>
                <w:color w:val="auto"/>
                <w:sz w:val="21"/>
                <w:szCs w:val="21"/>
                <w:highlight w:val="none"/>
                <w:lang w:eastAsia="zh-CN"/>
              </w:rPr>
              <w:t>报价</w:t>
            </w:r>
            <w:r>
              <w:rPr>
                <w:rFonts w:hint="eastAsia" w:ascii="宋体" w:hAnsi="宋体" w:eastAsia="宋体" w:cs="Times New Roman"/>
                <w:color w:val="auto"/>
                <w:sz w:val="21"/>
                <w:szCs w:val="21"/>
                <w:highlight w:val="none"/>
              </w:rPr>
              <w:t>文件组成完整</w:t>
            </w:r>
            <w:r>
              <w:rPr>
                <w:rFonts w:hint="eastAsia" w:ascii="宋体" w:hAnsi="宋体" w:eastAsia="宋体" w:cs="Times New Roman"/>
                <w:color w:val="auto"/>
                <w:sz w:val="21"/>
                <w:szCs w:val="21"/>
                <w:highlight w:val="none"/>
                <w:lang w:eastAsia="zh-CN"/>
              </w:rPr>
              <w:t>。（报价</w:t>
            </w:r>
            <w:r>
              <w:rPr>
                <w:rFonts w:hint="eastAsia" w:ascii="宋体" w:hAnsi="宋体" w:eastAsia="宋体" w:cs="Times New Roman"/>
                <w:color w:val="auto"/>
                <w:sz w:val="21"/>
                <w:szCs w:val="21"/>
                <w:highlight w:val="none"/>
              </w:rPr>
              <w:t>文件组成含</w:t>
            </w:r>
            <w:r>
              <w:rPr>
                <w:rFonts w:hint="eastAsia" w:ascii="宋体" w:hAnsi="宋体" w:eastAsia="宋体" w:cs="Times New Roman"/>
                <w:color w:val="auto"/>
                <w:sz w:val="21"/>
                <w:szCs w:val="21"/>
                <w:highlight w:val="none"/>
                <w:lang w:eastAsia="zh-CN"/>
              </w:rPr>
              <w:t>价格文件、商务技术文件、资格证明文件）</w:t>
            </w:r>
          </w:p>
          <w:p>
            <w:pPr>
              <w:adjustRightInd/>
              <w:snapToGrid/>
              <w:spacing w:line="240" w:lineRule="auto"/>
              <w:rPr>
                <w:rFonts w:hint="default" w:ascii="宋体" w:hAnsi="宋体" w:eastAsia="宋体" w:cs="Times New Roman"/>
                <w:color w:val="auto"/>
                <w:sz w:val="21"/>
                <w:szCs w:val="21"/>
                <w:highlight w:val="none"/>
                <w:lang w:val="en-US" w:eastAsia="zh-CN"/>
              </w:rPr>
            </w:pPr>
          </w:p>
        </w:tc>
      </w:tr>
      <w:tr>
        <w:tblPrEx>
          <w:tblCellMar>
            <w:top w:w="0" w:type="dxa"/>
            <w:left w:w="108" w:type="dxa"/>
            <w:bottom w:w="0" w:type="dxa"/>
            <w:right w:w="108" w:type="dxa"/>
          </w:tblCellMar>
        </w:tblPrEx>
        <w:trPr>
          <w:trHeight w:val="634" w:hRule="exact"/>
          <w:jc w:val="center"/>
        </w:trPr>
        <w:tc>
          <w:tcPr>
            <w:tcW w:w="3843" w:type="dxa"/>
            <w:tcBorders>
              <w:top w:val="nil"/>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b w:val="0"/>
                <w:bCs/>
                <w:szCs w:val="21"/>
              </w:rPr>
            </w:pPr>
            <w:r>
              <w:rPr>
                <w:rFonts w:hint="eastAsia" w:ascii="宋体" w:hAnsi="宋体" w:cs="宋体"/>
                <w:b w:val="0"/>
                <w:bCs/>
                <w:szCs w:val="21"/>
              </w:rPr>
              <w:t>综合评定</w:t>
            </w:r>
          </w:p>
        </w:tc>
        <w:tc>
          <w:tcPr>
            <w:tcW w:w="1134" w:type="dxa"/>
            <w:tcBorders>
              <w:top w:val="nil"/>
              <w:left w:val="nil"/>
              <w:bottom w:val="single" w:color="auto" w:sz="4" w:space="0"/>
              <w:right w:val="single" w:color="auto" w:sz="4" w:space="0"/>
            </w:tcBorders>
            <w:noWrap w:val="0"/>
            <w:vAlign w:val="center"/>
          </w:tcPr>
          <w:p>
            <w:pPr>
              <w:widowControl/>
              <w:spacing w:line="240" w:lineRule="auto"/>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auto"/>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auto"/>
              <w:jc w:val="left"/>
              <w:rPr>
                <w:rFonts w:ascii="宋体" w:hAnsi="宋体" w:cs="宋体"/>
                <w:b w:val="0"/>
                <w:bCs/>
                <w:szCs w:val="21"/>
              </w:rPr>
            </w:pPr>
          </w:p>
        </w:tc>
      </w:tr>
      <w:tr>
        <w:tblPrEx>
          <w:tblCellMar>
            <w:top w:w="0" w:type="dxa"/>
            <w:left w:w="108" w:type="dxa"/>
            <w:bottom w:w="0" w:type="dxa"/>
            <w:right w:w="108" w:type="dxa"/>
          </w:tblCellMar>
        </w:tblPrEx>
        <w:trPr>
          <w:trHeight w:val="535" w:hRule="atLeast"/>
          <w:jc w:val="center"/>
        </w:trPr>
        <w:tc>
          <w:tcPr>
            <w:tcW w:w="9435" w:type="dxa"/>
            <w:gridSpan w:val="4"/>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rPr>
              <w:t>说明：</w:t>
            </w:r>
            <w:r>
              <w:rPr>
                <w:rFonts w:ascii="宋体" w:hAnsi="宋体" w:cs="宋体"/>
                <w:b w:val="0"/>
                <w:bCs/>
                <w:szCs w:val="21"/>
              </w:rPr>
              <w:t xml:space="preserve">1.合格打“√”, </w:t>
            </w:r>
            <w:r>
              <w:rPr>
                <w:rFonts w:hint="eastAsia" w:ascii="宋体" w:hAnsi="宋体" w:cs="宋体"/>
                <w:b w:val="0"/>
                <w:bCs/>
                <w:szCs w:val="21"/>
              </w:rPr>
              <w:t>不合格打“×”。</w:t>
            </w:r>
            <w:r>
              <w:rPr>
                <w:rFonts w:ascii="宋体" w:hAnsi="宋体" w:cs="宋体"/>
                <w:b w:val="0"/>
                <w:bCs/>
                <w:szCs w:val="21"/>
              </w:rPr>
              <w:t>2.有一项内容不合格，综合评定为不合格。</w:t>
            </w:r>
          </w:p>
        </w:tc>
      </w:tr>
    </w:tbl>
    <w:p>
      <w:pPr>
        <w:spacing w:line="560" w:lineRule="exact"/>
        <w:ind w:left="420" w:hanging="420" w:hangingChars="200"/>
        <w:rPr>
          <w:b w:val="0"/>
          <w:bCs/>
          <w:szCs w:val="21"/>
        </w:rPr>
      </w:pPr>
      <w:r>
        <w:rPr>
          <w:rFonts w:hint="eastAsia"/>
          <w:b w:val="0"/>
          <w:bCs/>
          <w:szCs w:val="21"/>
        </w:rPr>
        <w:t>评审委员会成员签名：</w:t>
      </w:r>
      <w:r>
        <w:rPr>
          <w:b w:val="0"/>
          <w:bCs/>
          <w:szCs w:val="21"/>
        </w:rPr>
        <w:t xml:space="preserve">                                                 </w:t>
      </w:r>
      <w:r>
        <w:rPr>
          <w:rFonts w:hint="eastAsia"/>
          <w:b w:val="0"/>
          <w:bCs/>
          <w:szCs w:val="21"/>
        </w:rPr>
        <w:t>年　　月　　日</w:t>
      </w:r>
    </w:p>
    <w:p>
      <w:pPr>
        <w:rPr>
          <w:rFonts w:ascii="黑体" w:hAnsi="黑体" w:eastAsia="黑体"/>
          <w:b w:val="0"/>
          <w:bCs/>
          <w:sz w:val="28"/>
          <w:szCs w:val="28"/>
        </w:rPr>
      </w:pPr>
    </w:p>
    <w:p>
      <w:pPr>
        <w:rPr>
          <w:rFonts w:hint="eastAsia" w:ascii="黑体" w:hAnsi="黑体" w:eastAsia="黑体"/>
          <w:sz w:val="32"/>
          <w:szCs w:val="32"/>
          <w:highlight w:val="green"/>
        </w:rPr>
      </w:pPr>
      <w:r>
        <w:rPr>
          <w:rFonts w:ascii="黑体" w:hAnsi="黑体" w:eastAsia="黑体"/>
          <w:b w:val="0"/>
          <w:bCs/>
          <w:sz w:val="28"/>
          <w:szCs w:val="28"/>
        </w:rPr>
        <w:br w:type="page"/>
      </w:r>
    </w:p>
    <w:p>
      <w:pPr>
        <w:pStyle w:val="5"/>
        <w:keepNext/>
        <w:keepLines/>
        <w:pageBreakBefore w:val="0"/>
        <w:widowControl w:val="0"/>
        <w:kinsoku/>
        <w:wordWrap/>
        <w:overflowPunct/>
        <w:topLinePunct w:val="0"/>
        <w:autoSpaceDE/>
        <w:autoSpaceDN/>
        <w:bidi w:val="0"/>
        <w:adjustRightInd/>
        <w:snapToGrid/>
        <w:spacing w:before="157" w:beforeLines="50" w:after="157" w:afterLines="50" w:line="560" w:lineRule="exact"/>
        <w:textAlignment w:val="auto"/>
        <w:outlineLvl w:val="2"/>
        <w:rPr>
          <w:rFonts w:hint="eastAsia" w:ascii="黑体" w:hAnsi="黑体" w:eastAsia="黑体" w:cs="Times New Roman"/>
          <w:b w:val="0"/>
          <w:bCs/>
          <w:sz w:val="28"/>
          <w:szCs w:val="28"/>
          <w:lang w:val="en-US" w:eastAsia="zh-CN"/>
        </w:rPr>
      </w:pPr>
      <w:bookmarkStart w:id="796" w:name="_Toc21557"/>
      <w:bookmarkStart w:id="797" w:name="_Toc31080"/>
      <w:r>
        <w:rPr>
          <w:rFonts w:hint="eastAsia" w:ascii="黑体" w:hAnsi="黑体" w:eastAsia="黑体" w:cs="Times New Roman"/>
          <w:b w:val="0"/>
          <w:bCs/>
          <w:sz w:val="28"/>
          <w:szCs w:val="28"/>
        </w:rPr>
        <w:t>附表3</w:t>
      </w:r>
      <w:bookmarkEnd w:id="796"/>
      <w:r>
        <w:rPr>
          <w:rFonts w:hint="eastAsia" w:ascii="黑体" w:hAnsi="黑体" w:cs="Times New Roman"/>
          <w:b w:val="0"/>
          <w:bCs/>
          <w:sz w:val="28"/>
          <w:szCs w:val="28"/>
          <w:lang w:val="en-US" w:eastAsia="zh-CN"/>
        </w:rPr>
        <w:t xml:space="preserve"> 商务评审标准</w:t>
      </w:r>
      <w:r>
        <w:rPr>
          <w:rFonts w:hint="eastAsia" w:ascii="黑体" w:hAnsi="黑体" w:eastAsia="黑体"/>
          <w:b w:val="0"/>
          <w:bCs/>
          <w:sz w:val="28"/>
          <w:szCs w:val="28"/>
        </w:rPr>
        <w:t>表</w:t>
      </w:r>
      <w:bookmarkEnd w:id="797"/>
    </w:p>
    <w:p>
      <w:pPr>
        <w:pStyle w:val="159"/>
        <w:jc w:val="center"/>
        <w:outlineLvl w:val="9"/>
        <w:rPr>
          <w:rFonts w:hint="eastAsia"/>
          <w:color w:val="000000"/>
        </w:rPr>
      </w:pPr>
      <w:bookmarkStart w:id="798" w:name="_Toc6876"/>
      <w:r>
        <w:rPr>
          <w:rFonts w:hint="eastAsia"/>
          <w:color w:val="000000"/>
        </w:rPr>
        <w:t>商务评审标准表</w:t>
      </w:r>
      <w:bookmarkEnd w:id="798"/>
    </w:p>
    <w:p>
      <w:pPr>
        <w:rPr>
          <w:rFonts w:hint="eastAsia" w:ascii="方正小标宋简体" w:eastAsia="方正小标宋简体"/>
          <w:color w:val="000000"/>
          <w:sz w:val="36"/>
          <w:szCs w:val="36"/>
        </w:rPr>
      </w:pPr>
      <w:r>
        <w:rPr>
          <w:b/>
          <w:bCs/>
          <w:color w:val="000000"/>
        </w:rPr>
        <w:t>项目名称：</w:t>
      </w:r>
      <w:r>
        <w:rPr>
          <w:b/>
          <w:bCs/>
          <w:color w:val="000000"/>
          <w:u w:val="single"/>
        </w:rPr>
        <w:t xml:space="preserve">          </w:t>
      </w:r>
      <w:r>
        <w:rPr>
          <w:rFonts w:hint="eastAsia"/>
          <w:b/>
          <w:bCs/>
          <w:color w:val="000000"/>
          <w:u w:val="single"/>
        </w:rPr>
        <w:t xml:space="preserve">           </w:t>
      </w:r>
      <w:r>
        <w:rPr>
          <w:b/>
          <w:bCs/>
          <w:color w:val="000000"/>
          <w:u w:val="single"/>
        </w:rPr>
        <w:t xml:space="preserve">    </w:t>
      </w:r>
      <w:r>
        <w:rPr>
          <w:b/>
          <w:bCs/>
          <w:color w:val="000000"/>
        </w:rPr>
        <w:t xml:space="preserve">     项目编号：</w:t>
      </w:r>
      <w:r>
        <w:rPr>
          <w:b/>
          <w:bCs/>
          <w:color w:val="000000"/>
          <w:u w:val="single"/>
        </w:rPr>
        <w:t xml:space="preserve">            </w:t>
      </w:r>
      <w:r>
        <w:rPr>
          <w:b/>
          <w:bCs/>
          <w:color w:val="000000"/>
        </w:rPr>
        <w:t xml:space="preserve">       包号：</w:t>
      </w:r>
      <w:r>
        <w:rPr>
          <w:rFonts w:hint="eastAsia"/>
          <w:b/>
          <w:bCs/>
          <w:color w:val="000000"/>
          <w:u w:val="single"/>
        </w:rPr>
        <w:t xml:space="preserve">          </w:t>
      </w:r>
    </w:p>
    <w:tbl>
      <w:tblPr>
        <w:tblStyle w:val="44"/>
        <w:tblW w:w="0" w:type="auto"/>
        <w:jc w:val="center"/>
        <w:tblLayout w:type="fixed"/>
        <w:tblCellMar>
          <w:top w:w="0" w:type="dxa"/>
          <w:left w:w="108" w:type="dxa"/>
          <w:bottom w:w="0" w:type="dxa"/>
          <w:right w:w="108" w:type="dxa"/>
        </w:tblCellMar>
      </w:tblPr>
      <w:tblGrid>
        <w:gridCol w:w="740"/>
        <w:gridCol w:w="1060"/>
        <w:gridCol w:w="6260"/>
        <w:gridCol w:w="1077"/>
      </w:tblGrid>
      <w:tr>
        <w:tblPrEx>
          <w:tblCellMar>
            <w:top w:w="0" w:type="dxa"/>
            <w:left w:w="108" w:type="dxa"/>
            <w:bottom w:w="0" w:type="dxa"/>
            <w:right w:w="108" w:type="dxa"/>
          </w:tblCellMar>
        </w:tblPrEx>
        <w:trPr>
          <w:trHeight w:val="465" w:hRule="atLeast"/>
          <w:jc w:val="center"/>
        </w:trPr>
        <w:tc>
          <w:tcPr>
            <w:tcW w:w="740" w:type="dxa"/>
            <w:tcBorders>
              <w:top w:val="single" w:color="auto" w:sz="4" w:space="0"/>
              <w:left w:val="single" w:color="auto" w:sz="4" w:space="0"/>
              <w:bottom w:val="single" w:color="auto" w:sz="4" w:space="0"/>
              <w:right w:val="single" w:color="auto" w:sz="4" w:space="0"/>
            </w:tcBorders>
            <w:noWrap/>
            <w:vAlign w:val="center"/>
          </w:tcPr>
          <w:p>
            <w:pPr>
              <w:pStyle w:val="156"/>
              <w:jc w:val="center"/>
              <w:rPr>
                <w:b/>
                <w:bCs/>
                <w:color w:val="000000"/>
              </w:rPr>
            </w:pPr>
            <w:r>
              <w:rPr>
                <w:rFonts w:hint="eastAsia"/>
                <w:b/>
                <w:bCs/>
                <w:color w:val="000000"/>
              </w:rPr>
              <w:t>序号</w:t>
            </w:r>
          </w:p>
        </w:tc>
        <w:tc>
          <w:tcPr>
            <w:tcW w:w="1060" w:type="dxa"/>
            <w:tcBorders>
              <w:top w:val="single" w:color="auto" w:sz="4" w:space="0"/>
              <w:left w:val="nil"/>
              <w:bottom w:val="single" w:color="auto" w:sz="4" w:space="0"/>
              <w:right w:val="single" w:color="auto" w:sz="4" w:space="0"/>
            </w:tcBorders>
            <w:noWrap/>
            <w:vAlign w:val="center"/>
          </w:tcPr>
          <w:p>
            <w:pPr>
              <w:pStyle w:val="156"/>
              <w:jc w:val="center"/>
              <w:rPr>
                <w:b/>
                <w:bCs/>
                <w:color w:val="000000"/>
              </w:rPr>
            </w:pPr>
            <w:r>
              <w:rPr>
                <w:rFonts w:hint="eastAsia"/>
                <w:b/>
                <w:bCs/>
                <w:color w:val="000000"/>
              </w:rPr>
              <w:t>评审项目</w:t>
            </w:r>
          </w:p>
        </w:tc>
        <w:tc>
          <w:tcPr>
            <w:tcW w:w="6260" w:type="dxa"/>
            <w:tcBorders>
              <w:top w:val="single" w:color="auto" w:sz="4" w:space="0"/>
              <w:left w:val="nil"/>
              <w:bottom w:val="single" w:color="auto" w:sz="4" w:space="0"/>
              <w:right w:val="single" w:color="auto" w:sz="4" w:space="0"/>
            </w:tcBorders>
            <w:noWrap/>
            <w:vAlign w:val="center"/>
          </w:tcPr>
          <w:p>
            <w:pPr>
              <w:pStyle w:val="156"/>
              <w:jc w:val="center"/>
              <w:rPr>
                <w:b/>
                <w:bCs/>
                <w:color w:val="000000"/>
              </w:rPr>
            </w:pPr>
            <w:r>
              <w:rPr>
                <w:rFonts w:hint="eastAsia"/>
                <w:b/>
                <w:bCs/>
                <w:color w:val="000000"/>
              </w:rPr>
              <w:t>评审内容及规则</w:t>
            </w:r>
          </w:p>
        </w:tc>
        <w:tc>
          <w:tcPr>
            <w:tcW w:w="1077" w:type="dxa"/>
            <w:tcBorders>
              <w:top w:val="single" w:color="auto" w:sz="4" w:space="0"/>
              <w:left w:val="nil"/>
              <w:bottom w:val="single" w:color="auto" w:sz="4" w:space="0"/>
              <w:right w:val="single" w:color="auto" w:sz="4" w:space="0"/>
            </w:tcBorders>
            <w:noWrap/>
            <w:vAlign w:val="center"/>
          </w:tcPr>
          <w:p>
            <w:pPr>
              <w:pStyle w:val="156"/>
              <w:jc w:val="center"/>
              <w:rPr>
                <w:b/>
                <w:bCs/>
                <w:color w:val="000000"/>
              </w:rPr>
            </w:pPr>
            <w:r>
              <w:rPr>
                <w:rFonts w:hint="eastAsia"/>
                <w:b/>
                <w:bCs/>
                <w:color w:val="000000"/>
              </w:rPr>
              <w:t>标准分值</w:t>
            </w:r>
          </w:p>
        </w:tc>
      </w:tr>
      <w:tr>
        <w:tblPrEx>
          <w:tblCellMar>
            <w:top w:w="0" w:type="dxa"/>
            <w:left w:w="108" w:type="dxa"/>
            <w:bottom w:w="0" w:type="dxa"/>
            <w:right w:w="108" w:type="dxa"/>
          </w:tblCellMar>
        </w:tblPrEx>
        <w:trPr>
          <w:trHeight w:val="340" w:hRule="atLeast"/>
          <w:jc w:val="center"/>
        </w:trPr>
        <w:tc>
          <w:tcPr>
            <w:tcW w:w="740" w:type="dxa"/>
            <w:tcBorders>
              <w:top w:val="single" w:color="auto" w:sz="4" w:space="0"/>
              <w:left w:val="single" w:color="auto" w:sz="4" w:space="0"/>
              <w:bottom w:val="single" w:color="auto" w:sz="4" w:space="0"/>
              <w:right w:val="single" w:color="auto" w:sz="4" w:space="0"/>
            </w:tcBorders>
            <w:noWrap/>
            <w:vAlign w:val="center"/>
          </w:tcPr>
          <w:p>
            <w:pPr>
              <w:pStyle w:val="156"/>
              <w:jc w:val="center"/>
              <w:rPr>
                <w:rFonts w:hint="eastAsia" w:ascii="宋体" w:hAnsi="宋体" w:cs="宋体"/>
                <w:color w:val="000000"/>
                <w:sz w:val="21"/>
                <w:szCs w:val="21"/>
              </w:rPr>
            </w:pPr>
            <w:r>
              <w:rPr>
                <w:rFonts w:hint="eastAsia" w:ascii="宋体" w:hAnsi="宋体" w:cs="宋体"/>
                <w:color w:val="000000"/>
                <w:sz w:val="21"/>
                <w:szCs w:val="21"/>
              </w:rPr>
              <w:t>一</w:t>
            </w:r>
          </w:p>
        </w:tc>
        <w:tc>
          <w:tcPr>
            <w:tcW w:w="1060" w:type="dxa"/>
            <w:tcBorders>
              <w:top w:val="single" w:color="auto" w:sz="4" w:space="0"/>
              <w:left w:val="single" w:color="auto" w:sz="4" w:space="0"/>
              <w:bottom w:val="single" w:color="auto" w:sz="4" w:space="0"/>
              <w:right w:val="single" w:color="auto" w:sz="4" w:space="0"/>
            </w:tcBorders>
            <w:noWrap/>
            <w:vAlign w:val="center"/>
          </w:tcPr>
          <w:p>
            <w:pPr>
              <w:pStyle w:val="156"/>
              <w:jc w:val="center"/>
              <w:rPr>
                <w:rFonts w:hint="eastAsia" w:ascii="宋体" w:hAnsi="宋体" w:cs="宋体"/>
                <w:color w:val="000000"/>
                <w:sz w:val="21"/>
                <w:szCs w:val="21"/>
              </w:rPr>
            </w:pPr>
            <w:r>
              <w:rPr>
                <w:rFonts w:hint="eastAsia" w:ascii="宋体" w:hAnsi="宋体" w:cs="宋体"/>
                <w:color w:val="000000"/>
                <w:sz w:val="21"/>
                <w:szCs w:val="21"/>
              </w:rPr>
              <w:t>价格</w:t>
            </w:r>
          </w:p>
        </w:tc>
        <w:tc>
          <w:tcPr>
            <w:tcW w:w="6260" w:type="dxa"/>
            <w:tcBorders>
              <w:top w:val="nil"/>
              <w:left w:val="nil"/>
              <w:bottom w:val="single" w:color="auto" w:sz="4" w:space="0"/>
              <w:right w:val="single" w:color="auto" w:sz="4" w:space="0"/>
            </w:tcBorders>
            <w:noWrap w:val="0"/>
            <w:vAlign w:val="center"/>
          </w:tcPr>
          <w:p>
            <w:pPr>
              <w:pStyle w:val="156"/>
              <w:spacing w:line="44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以所有通过资格性和符合性审查的报价方中的最低报价为评审基准价。价格得分=评审基准价÷报价×标准分值</w:t>
            </w:r>
          </w:p>
          <w:p>
            <w:pPr>
              <w:pStyle w:val="156"/>
              <w:spacing w:line="44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计算过程中，有小数点的保留两位小数，小数点后第三位“四舍五入”。</w:t>
            </w:r>
          </w:p>
        </w:tc>
        <w:tc>
          <w:tcPr>
            <w:tcW w:w="1077" w:type="dxa"/>
            <w:tcBorders>
              <w:top w:val="nil"/>
              <w:left w:val="nil"/>
              <w:bottom w:val="single" w:color="auto" w:sz="4" w:space="0"/>
              <w:right w:val="single" w:color="auto" w:sz="4" w:space="0"/>
            </w:tcBorders>
            <w:noWrap w:val="0"/>
            <w:vAlign w:val="center"/>
          </w:tcPr>
          <w:p>
            <w:pPr>
              <w:pStyle w:val="156"/>
              <w:jc w:val="center"/>
              <w:rPr>
                <w:rFonts w:hint="eastAsia" w:ascii="宋体" w:hAnsi="宋体" w:cs="宋体"/>
                <w:color w:val="000000"/>
                <w:sz w:val="21"/>
                <w:szCs w:val="21"/>
              </w:rPr>
            </w:pPr>
            <w:r>
              <w:rPr>
                <w:rFonts w:hint="eastAsia" w:ascii="宋体" w:hAnsi="宋体" w:cs="宋体"/>
                <w:color w:val="000000"/>
                <w:sz w:val="21"/>
                <w:szCs w:val="21"/>
              </w:rPr>
              <w:t>30分</w:t>
            </w:r>
          </w:p>
        </w:tc>
      </w:tr>
      <w:tr>
        <w:tblPrEx>
          <w:tblCellMar>
            <w:top w:w="0" w:type="dxa"/>
            <w:left w:w="108" w:type="dxa"/>
            <w:bottom w:w="0" w:type="dxa"/>
            <w:right w:w="108" w:type="dxa"/>
          </w:tblCellMar>
        </w:tblPrEx>
        <w:trPr>
          <w:trHeight w:val="3960" w:hRule="atLeast"/>
          <w:jc w:val="center"/>
        </w:trPr>
        <w:tc>
          <w:tcPr>
            <w:tcW w:w="740" w:type="dxa"/>
            <w:tcBorders>
              <w:top w:val="single" w:color="auto" w:sz="4" w:space="0"/>
              <w:left w:val="single" w:color="auto" w:sz="4" w:space="0"/>
              <w:bottom w:val="single" w:color="auto" w:sz="4" w:space="0"/>
              <w:right w:val="single" w:color="auto" w:sz="4" w:space="0"/>
            </w:tcBorders>
            <w:noWrap/>
            <w:vAlign w:val="center"/>
          </w:tcPr>
          <w:p>
            <w:pPr>
              <w:pStyle w:val="156"/>
              <w:jc w:val="center"/>
              <w:rPr>
                <w:rFonts w:hint="eastAsia" w:ascii="宋体" w:hAnsi="宋体" w:cs="宋体"/>
                <w:color w:val="000000"/>
                <w:sz w:val="21"/>
                <w:szCs w:val="21"/>
              </w:rPr>
            </w:pPr>
            <w:r>
              <w:rPr>
                <w:rFonts w:hint="eastAsia" w:ascii="宋体" w:hAnsi="宋体" w:cs="宋体"/>
                <w:color w:val="000000"/>
                <w:sz w:val="21"/>
                <w:szCs w:val="21"/>
              </w:rPr>
              <w:t>二</w:t>
            </w:r>
          </w:p>
        </w:tc>
        <w:tc>
          <w:tcPr>
            <w:tcW w:w="1060" w:type="dxa"/>
            <w:tcBorders>
              <w:top w:val="single" w:color="auto" w:sz="4" w:space="0"/>
              <w:left w:val="single" w:color="auto" w:sz="4" w:space="0"/>
              <w:bottom w:val="single" w:color="auto" w:sz="4" w:space="0"/>
              <w:right w:val="single" w:color="auto" w:sz="4" w:space="0"/>
            </w:tcBorders>
            <w:noWrap/>
            <w:vAlign w:val="center"/>
          </w:tcPr>
          <w:p>
            <w:pPr>
              <w:pStyle w:val="156"/>
              <w:jc w:val="center"/>
              <w:rPr>
                <w:rFonts w:hint="eastAsia" w:ascii="宋体" w:hAnsi="宋体" w:cs="宋体"/>
                <w:color w:val="000000"/>
                <w:sz w:val="21"/>
                <w:szCs w:val="21"/>
              </w:rPr>
            </w:pPr>
            <w:r>
              <w:rPr>
                <w:rFonts w:hint="eastAsia" w:ascii="宋体" w:hAnsi="宋体" w:cs="宋体"/>
                <w:color w:val="000000"/>
                <w:sz w:val="21"/>
                <w:szCs w:val="21"/>
              </w:rPr>
              <w:t>产品业绩</w:t>
            </w:r>
          </w:p>
        </w:tc>
        <w:tc>
          <w:tcPr>
            <w:tcW w:w="6260" w:type="dxa"/>
            <w:tcBorders>
              <w:top w:val="single" w:color="auto" w:sz="4" w:space="0"/>
              <w:left w:val="single" w:color="auto" w:sz="4" w:space="0"/>
              <w:right w:val="single" w:color="auto" w:sz="4" w:space="0"/>
            </w:tcBorders>
            <w:noWrap w:val="0"/>
            <w:vAlign w:val="center"/>
          </w:tcPr>
          <w:p>
            <w:pPr>
              <w:pStyle w:val="156"/>
              <w:spacing w:line="440" w:lineRule="exact"/>
              <w:ind w:firstLine="420" w:firstLineChars="200"/>
              <w:rPr>
                <w:rFonts w:hint="eastAsia" w:ascii="宋体" w:hAnsi="宋体" w:cs="宋体"/>
                <w:color w:val="000000"/>
                <w:sz w:val="21"/>
                <w:szCs w:val="21"/>
              </w:rPr>
            </w:pPr>
            <w:r>
              <w:rPr>
                <w:rFonts w:hint="eastAsia" w:ascii="宋体" w:hAnsi="宋体" w:cs="宋体"/>
                <w:color w:val="000000"/>
                <w:sz w:val="21"/>
                <w:szCs w:val="21"/>
              </w:rPr>
              <w:t>比较近三年（截止报价时间）所投产品在三甲医院或高等科研院所的销售业绩。以提供的销售合同复印件为准，最多提供10份销售合同并附对应的银行存款进账凭证。报价方为生产企业时，提供报价方销售合同。报价方为代理商时，可以提供报价方代理销售合同，或提供生产企业销售合同；提供生产企业销售合同时，报价方代理销售合同无效。未盖章或盖章不清晰、总金额或数量不清晰的合同无效。</w:t>
            </w:r>
          </w:p>
          <w:p>
            <w:pPr>
              <w:pStyle w:val="156"/>
              <w:spacing w:line="440" w:lineRule="exact"/>
              <w:ind w:firstLine="420" w:firstLineChars="200"/>
              <w:rPr>
                <w:rFonts w:hint="eastAsia" w:ascii="宋体" w:hAnsi="宋体" w:cs="宋体"/>
                <w:color w:val="000000"/>
                <w:sz w:val="21"/>
                <w:szCs w:val="21"/>
              </w:rPr>
            </w:pPr>
            <w:r>
              <w:rPr>
                <w:rFonts w:hint="eastAsia" w:ascii="宋体" w:hAnsi="宋体" w:cs="宋体"/>
                <w:color w:val="000000"/>
                <w:sz w:val="21"/>
                <w:szCs w:val="21"/>
              </w:rPr>
              <w:t>业绩得分=（所</w:t>
            </w:r>
            <w:r>
              <w:rPr>
                <w:rFonts w:hint="eastAsia" w:ascii="宋体" w:hAnsi="宋体" w:cs="宋体"/>
                <w:color w:val="000000"/>
                <w:sz w:val="21"/>
                <w:szCs w:val="21"/>
                <w:lang w:eastAsia="zh-CN"/>
              </w:rPr>
              <w:t>报</w:t>
            </w:r>
            <w:r>
              <w:rPr>
                <w:rFonts w:hint="eastAsia" w:ascii="宋体" w:hAnsi="宋体" w:cs="宋体"/>
                <w:color w:val="000000"/>
                <w:sz w:val="21"/>
                <w:szCs w:val="21"/>
              </w:rPr>
              <w:t>产品业绩/基准业绩）×标准分值</w:t>
            </w:r>
          </w:p>
          <w:p>
            <w:pPr>
              <w:pStyle w:val="156"/>
              <w:spacing w:line="440" w:lineRule="exact"/>
              <w:ind w:firstLine="420" w:firstLineChars="200"/>
              <w:rPr>
                <w:rFonts w:hint="eastAsia" w:ascii="宋体" w:hAnsi="宋体" w:cs="宋体"/>
                <w:color w:val="000000"/>
                <w:sz w:val="21"/>
                <w:szCs w:val="21"/>
              </w:rPr>
            </w:pPr>
            <w:r>
              <w:rPr>
                <w:rFonts w:hint="eastAsia" w:ascii="宋体" w:hAnsi="宋体" w:cs="宋体"/>
                <w:color w:val="000000"/>
                <w:sz w:val="21"/>
                <w:szCs w:val="21"/>
              </w:rPr>
              <w:t>基准业绩=近三年（截止报价时间）所</w:t>
            </w:r>
            <w:r>
              <w:rPr>
                <w:rFonts w:hint="eastAsia" w:ascii="宋体" w:hAnsi="宋体" w:cs="宋体"/>
                <w:color w:val="000000"/>
                <w:sz w:val="21"/>
                <w:szCs w:val="21"/>
                <w:lang w:eastAsia="zh-CN"/>
              </w:rPr>
              <w:t>报</w:t>
            </w:r>
            <w:r>
              <w:rPr>
                <w:rFonts w:hint="eastAsia" w:ascii="宋体" w:hAnsi="宋体" w:cs="宋体"/>
                <w:color w:val="000000"/>
                <w:sz w:val="21"/>
                <w:szCs w:val="21"/>
              </w:rPr>
              <w:t>产品有效合同中所投产品累计销售总数量</w:t>
            </w:r>
            <w:r>
              <w:rPr>
                <w:rFonts w:hint="eastAsia" w:ascii="宋体" w:hAnsi="宋体" w:cs="宋体"/>
                <w:color w:val="FF0000"/>
                <w:sz w:val="21"/>
                <w:szCs w:val="21"/>
                <w:lang w:val="en-US" w:eastAsia="zh-CN"/>
              </w:rPr>
              <w:t>（累计销售总数量是指单个投标人所投产品最高数量）</w:t>
            </w:r>
          </w:p>
          <w:p>
            <w:pPr>
              <w:pStyle w:val="156"/>
              <w:spacing w:line="440" w:lineRule="exact"/>
              <w:ind w:firstLine="420" w:firstLineChars="200"/>
              <w:rPr>
                <w:rFonts w:hint="eastAsia" w:ascii="宋体" w:hAnsi="宋体" w:cs="宋体"/>
                <w:color w:val="000000"/>
                <w:sz w:val="21"/>
                <w:szCs w:val="21"/>
              </w:rPr>
            </w:pPr>
            <w:r>
              <w:rPr>
                <w:rFonts w:hint="eastAsia" w:ascii="宋体" w:hAnsi="宋体" w:cs="宋体"/>
                <w:color w:val="000000"/>
                <w:sz w:val="21"/>
                <w:szCs w:val="21"/>
              </w:rPr>
              <w:t>计算过程有小数点的保留两位小数，小数点后第三位“四舍五入”</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pStyle w:val="156"/>
              <w:spacing w:line="440" w:lineRule="exact"/>
              <w:jc w:val="center"/>
              <w:rPr>
                <w:rFonts w:hint="eastAsia" w:ascii="宋体" w:hAnsi="宋体" w:cs="宋体"/>
                <w:color w:val="000000"/>
                <w:sz w:val="21"/>
                <w:szCs w:val="21"/>
              </w:rPr>
            </w:pPr>
            <w:r>
              <w:rPr>
                <w:rFonts w:hint="eastAsia" w:ascii="宋体" w:hAnsi="宋体" w:cs="宋体"/>
                <w:color w:val="000000"/>
                <w:sz w:val="21"/>
                <w:szCs w:val="21"/>
              </w:rPr>
              <w:t>4分</w:t>
            </w:r>
          </w:p>
        </w:tc>
      </w:tr>
      <w:tr>
        <w:tblPrEx>
          <w:tblCellMar>
            <w:top w:w="0" w:type="dxa"/>
            <w:left w:w="108" w:type="dxa"/>
            <w:bottom w:w="0" w:type="dxa"/>
            <w:right w:w="108" w:type="dxa"/>
          </w:tblCellMar>
        </w:tblPrEx>
        <w:trPr>
          <w:trHeight w:val="340" w:hRule="atLeast"/>
          <w:jc w:val="center"/>
        </w:trPr>
        <w:tc>
          <w:tcPr>
            <w:tcW w:w="740" w:type="dxa"/>
            <w:vMerge w:val="restart"/>
            <w:tcBorders>
              <w:top w:val="single" w:color="auto" w:sz="4" w:space="0"/>
              <w:left w:val="single" w:color="auto" w:sz="4" w:space="0"/>
              <w:bottom w:val="single" w:color="auto" w:sz="4" w:space="0"/>
              <w:right w:val="single" w:color="auto" w:sz="4" w:space="0"/>
            </w:tcBorders>
            <w:noWrap/>
            <w:vAlign w:val="center"/>
          </w:tcPr>
          <w:p>
            <w:pPr>
              <w:pStyle w:val="156"/>
              <w:jc w:val="center"/>
              <w:rPr>
                <w:rFonts w:hint="eastAsia" w:ascii="宋体" w:hAnsi="宋体" w:cs="宋体"/>
                <w:color w:val="000000"/>
                <w:sz w:val="21"/>
                <w:szCs w:val="21"/>
              </w:rPr>
            </w:pPr>
            <w:r>
              <w:rPr>
                <w:rFonts w:hint="eastAsia" w:ascii="宋体" w:hAnsi="宋体" w:cs="宋体"/>
                <w:color w:val="000000"/>
                <w:sz w:val="21"/>
                <w:szCs w:val="21"/>
              </w:rPr>
              <w:t>三</w:t>
            </w:r>
          </w:p>
        </w:tc>
        <w:tc>
          <w:tcPr>
            <w:tcW w:w="1060" w:type="dxa"/>
            <w:vMerge w:val="restart"/>
            <w:tcBorders>
              <w:top w:val="single" w:color="auto" w:sz="4" w:space="0"/>
              <w:left w:val="single" w:color="auto" w:sz="4" w:space="0"/>
              <w:bottom w:val="single" w:color="auto" w:sz="4" w:space="0"/>
              <w:right w:val="single" w:color="auto" w:sz="4" w:space="0"/>
            </w:tcBorders>
            <w:noWrap/>
            <w:vAlign w:val="center"/>
          </w:tcPr>
          <w:p>
            <w:pPr>
              <w:pStyle w:val="156"/>
              <w:jc w:val="center"/>
              <w:rPr>
                <w:rFonts w:hint="eastAsia" w:ascii="宋体" w:hAnsi="宋体" w:cs="宋体"/>
                <w:color w:val="000000"/>
                <w:sz w:val="21"/>
                <w:szCs w:val="21"/>
              </w:rPr>
            </w:pPr>
            <w:r>
              <w:rPr>
                <w:rFonts w:hint="eastAsia" w:ascii="宋体" w:hAnsi="宋体" w:cs="宋体"/>
                <w:color w:val="000000"/>
                <w:sz w:val="21"/>
                <w:szCs w:val="21"/>
              </w:rPr>
              <w:t>企业规模</w:t>
            </w:r>
          </w:p>
        </w:tc>
        <w:tc>
          <w:tcPr>
            <w:tcW w:w="6260" w:type="dxa"/>
            <w:tcBorders>
              <w:top w:val="single" w:color="auto" w:sz="4" w:space="0"/>
              <w:left w:val="single" w:color="auto" w:sz="4" w:space="0"/>
              <w:bottom w:val="single" w:color="auto" w:sz="4" w:space="0"/>
              <w:right w:val="single" w:color="auto" w:sz="4" w:space="0"/>
            </w:tcBorders>
            <w:noWrap w:val="0"/>
            <w:vAlign w:val="center"/>
          </w:tcPr>
          <w:p>
            <w:pPr>
              <w:pStyle w:val="156"/>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1.根据报价方近1年（202</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年）资产总额进行评分，第一名得1分，依次递减0.2分。</w:t>
            </w:r>
          </w:p>
          <w:p>
            <w:pPr>
              <w:pStyle w:val="156"/>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【以第三方会计师事务所出具的审计报告或公司财务报告（表）数据为准，未提供的得0分】</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56"/>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CellMar>
            <w:top w:w="0" w:type="dxa"/>
            <w:left w:w="108" w:type="dxa"/>
            <w:bottom w:w="0" w:type="dxa"/>
            <w:right w:w="108" w:type="dxa"/>
          </w:tblCellMar>
        </w:tblPrEx>
        <w:trPr>
          <w:trHeight w:val="340" w:hRule="atLeast"/>
          <w:jc w:val="center"/>
        </w:trPr>
        <w:tc>
          <w:tcPr>
            <w:tcW w:w="740" w:type="dxa"/>
            <w:vMerge w:val="continue"/>
            <w:tcBorders>
              <w:top w:val="single" w:color="auto" w:sz="4" w:space="0"/>
              <w:left w:val="single" w:color="auto" w:sz="4" w:space="0"/>
              <w:bottom w:val="single" w:color="auto" w:sz="4" w:space="0"/>
              <w:right w:val="single" w:color="auto" w:sz="4" w:space="0"/>
            </w:tcBorders>
            <w:noWrap/>
            <w:vAlign w:val="center"/>
          </w:tcPr>
          <w:p>
            <w:pPr>
              <w:pStyle w:val="156"/>
              <w:jc w:val="center"/>
              <w:rPr>
                <w:rFonts w:hint="eastAsia" w:ascii="宋体" w:hAnsi="宋体" w:cs="宋体"/>
                <w:color w:val="000000"/>
                <w:sz w:val="21"/>
                <w:szCs w:val="21"/>
              </w:rPr>
            </w:pPr>
          </w:p>
        </w:tc>
        <w:tc>
          <w:tcPr>
            <w:tcW w:w="1060" w:type="dxa"/>
            <w:vMerge w:val="continue"/>
            <w:tcBorders>
              <w:top w:val="single" w:color="auto" w:sz="4" w:space="0"/>
              <w:left w:val="single" w:color="auto" w:sz="4" w:space="0"/>
              <w:bottom w:val="single" w:color="auto" w:sz="4" w:space="0"/>
              <w:right w:val="single" w:color="auto" w:sz="4" w:space="0"/>
            </w:tcBorders>
            <w:noWrap/>
            <w:vAlign w:val="center"/>
          </w:tcPr>
          <w:p>
            <w:pPr>
              <w:pStyle w:val="156"/>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pStyle w:val="156"/>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2.根据报价方缴纳社保人数由大至小排名，第一名得1分，依次递减0.2分。</w:t>
            </w:r>
          </w:p>
          <w:p>
            <w:pPr>
              <w:pStyle w:val="156"/>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【提供社保机构出具的缴纳证明材料（截止时间至少为开标前的2个月），以正常参保人数进行评审，证明材料不清晰或资料不全的不得计为有效人数，企业未缴纳社保或未提供的得0分】</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56"/>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CellMar>
            <w:top w:w="0" w:type="dxa"/>
            <w:left w:w="108" w:type="dxa"/>
            <w:bottom w:w="0" w:type="dxa"/>
            <w:right w:w="108" w:type="dxa"/>
          </w:tblCellMar>
        </w:tblPrEx>
        <w:trPr>
          <w:trHeight w:val="340" w:hRule="atLeast"/>
          <w:jc w:val="center"/>
        </w:trPr>
        <w:tc>
          <w:tcPr>
            <w:tcW w:w="740" w:type="dxa"/>
            <w:vMerge w:val="restart"/>
            <w:tcBorders>
              <w:top w:val="single" w:color="auto" w:sz="4" w:space="0"/>
              <w:left w:val="single" w:color="auto" w:sz="4" w:space="0"/>
              <w:bottom w:val="single" w:color="auto" w:sz="4" w:space="0"/>
              <w:right w:val="single" w:color="auto" w:sz="4" w:space="0"/>
            </w:tcBorders>
            <w:noWrap/>
            <w:vAlign w:val="center"/>
          </w:tcPr>
          <w:p>
            <w:pPr>
              <w:pStyle w:val="156"/>
              <w:jc w:val="center"/>
              <w:rPr>
                <w:rFonts w:hint="eastAsia" w:ascii="宋体" w:hAnsi="宋体" w:cs="宋体"/>
                <w:color w:val="000000"/>
                <w:sz w:val="21"/>
                <w:szCs w:val="21"/>
              </w:rPr>
            </w:pPr>
            <w:r>
              <w:rPr>
                <w:rFonts w:hint="eastAsia" w:ascii="宋体" w:hAnsi="宋体" w:cs="宋体"/>
                <w:color w:val="000000"/>
                <w:sz w:val="21"/>
                <w:szCs w:val="21"/>
              </w:rPr>
              <w:t>四</w:t>
            </w:r>
          </w:p>
        </w:tc>
        <w:tc>
          <w:tcPr>
            <w:tcW w:w="1060" w:type="dxa"/>
            <w:vMerge w:val="restart"/>
            <w:tcBorders>
              <w:top w:val="single" w:color="auto" w:sz="4" w:space="0"/>
              <w:left w:val="single" w:color="auto" w:sz="4" w:space="0"/>
              <w:bottom w:val="single" w:color="auto" w:sz="4" w:space="0"/>
              <w:right w:val="single" w:color="auto" w:sz="4" w:space="0"/>
            </w:tcBorders>
            <w:noWrap/>
            <w:vAlign w:val="center"/>
          </w:tcPr>
          <w:p>
            <w:pPr>
              <w:pStyle w:val="156"/>
              <w:jc w:val="center"/>
              <w:rPr>
                <w:rFonts w:hint="eastAsia" w:ascii="宋体" w:hAnsi="宋体" w:cs="宋体"/>
                <w:color w:val="000000"/>
                <w:sz w:val="21"/>
                <w:szCs w:val="21"/>
              </w:rPr>
            </w:pPr>
            <w:r>
              <w:rPr>
                <w:rFonts w:hint="eastAsia" w:ascii="宋体" w:hAnsi="宋体" w:cs="宋体"/>
                <w:color w:val="000000"/>
                <w:sz w:val="21"/>
                <w:szCs w:val="21"/>
              </w:rPr>
              <w:t>信誉</w:t>
            </w:r>
          </w:p>
        </w:tc>
        <w:tc>
          <w:tcPr>
            <w:tcW w:w="6260" w:type="dxa"/>
            <w:tcBorders>
              <w:top w:val="single" w:color="auto" w:sz="4" w:space="0"/>
              <w:left w:val="single" w:color="auto" w:sz="4" w:space="0"/>
              <w:bottom w:val="single" w:color="auto" w:sz="4" w:space="0"/>
              <w:right w:val="single" w:color="auto" w:sz="4" w:space="0"/>
            </w:tcBorders>
            <w:noWrap w:val="0"/>
            <w:vAlign w:val="center"/>
          </w:tcPr>
          <w:p>
            <w:pPr>
              <w:pStyle w:val="156"/>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1.报价方近两年（截止报价文件递交时间）连续获得税务部门颁发的纳税信用A级证书的得0.5分，其他得0分。</w:t>
            </w:r>
          </w:p>
          <w:p>
            <w:pPr>
              <w:pStyle w:val="156"/>
              <w:spacing w:line="44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【提供证书复印件或网站截图或政府书面文件为依据】</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56"/>
              <w:jc w:val="center"/>
              <w:rPr>
                <w:rFonts w:hint="eastAsia" w:ascii="宋体" w:hAnsi="宋体" w:cs="宋体"/>
                <w:color w:val="000000"/>
                <w:sz w:val="21"/>
                <w:szCs w:val="21"/>
              </w:rPr>
            </w:pPr>
            <w:r>
              <w:rPr>
                <w:rFonts w:hint="eastAsia" w:ascii="宋体" w:hAnsi="宋体" w:cs="宋体"/>
                <w:color w:val="000000"/>
                <w:sz w:val="21"/>
                <w:szCs w:val="21"/>
              </w:rPr>
              <w:t>0.5</w:t>
            </w:r>
          </w:p>
        </w:tc>
      </w:tr>
      <w:tr>
        <w:tblPrEx>
          <w:tblCellMar>
            <w:top w:w="0" w:type="dxa"/>
            <w:left w:w="108" w:type="dxa"/>
            <w:bottom w:w="0" w:type="dxa"/>
            <w:right w:w="108" w:type="dxa"/>
          </w:tblCellMar>
        </w:tblPrEx>
        <w:trPr>
          <w:trHeight w:val="340" w:hRule="atLeast"/>
          <w:jc w:val="center"/>
        </w:trPr>
        <w:tc>
          <w:tcPr>
            <w:tcW w:w="740" w:type="dxa"/>
            <w:vMerge w:val="continue"/>
            <w:tcBorders>
              <w:top w:val="single" w:color="auto" w:sz="4" w:space="0"/>
              <w:left w:val="single" w:color="auto" w:sz="4" w:space="0"/>
              <w:bottom w:val="single" w:color="auto" w:sz="4" w:space="0"/>
              <w:right w:val="single" w:color="auto" w:sz="4" w:space="0"/>
            </w:tcBorders>
            <w:noWrap/>
            <w:vAlign w:val="center"/>
          </w:tcPr>
          <w:p>
            <w:pPr>
              <w:pStyle w:val="156"/>
              <w:jc w:val="center"/>
              <w:rPr>
                <w:rFonts w:hint="eastAsia" w:ascii="宋体" w:hAnsi="宋体" w:cs="宋体"/>
                <w:color w:val="000000"/>
                <w:sz w:val="21"/>
                <w:szCs w:val="21"/>
              </w:rPr>
            </w:pPr>
          </w:p>
        </w:tc>
        <w:tc>
          <w:tcPr>
            <w:tcW w:w="1060" w:type="dxa"/>
            <w:vMerge w:val="continue"/>
            <w:tcBorders>
              <w:top w:val="single" w:color="auto" w:sz="4" w:space="0"/>
              <w:left w:val="single" w:color="auto" w:sz="4" w:space="0"/>
              <w:bottom w:val="single" w:color="auto" w:sz="4" w:space="0"/>
              <w:right w:val="single" w:color="auto" w:sz="4" w:space="0"/>
            </w:tcBorders>
            <w:noWrap/>
            <w:vAlign w:val="center"/>
          </w:tcPr>
          <w:p>
            <w:pPr>
              <w:pStyle w:val="156"/>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pStyle w:val="156"/>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2.报价方近一年获得银行颁发的资信（信用）等级证明，级别最高的得0.5分，其他得0分。</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56"/>
              <w:jc w:val="center"/>
              <w:rPr>
                <w:rFonts w:hint="eastAsia" w:ascii="宋体" w:hAnsi="宋体" w:cs="宋体"/>
                <w:color w:val="000000"/>
                <w:sz w:val="21"/>
                <w:szCs w:val="21"/>
              </w:rPr>
            </w:pPr>
            <w:r>
              <w:rPr>
                <w:rFonts w:hint="eastAsia" w:ascii="宋体" w:hAnsi="宋体" w:cs="宋体"/>
                <w:color w:val="000000"/>
                <w:sz w:val="21"/>
                <w:szCs w:val="21"/>
              </w:rPr>
              <w:t>0.5</w:t>
            </w:r>
          </w:p>
        </w:tc>
      </w:tr>
      <w:tr>
        <w:tblPrEx>
          <w:tblCellMar>
            <w:top w:w="0" w:type="dxa"/>
            <w:left w:w="108" w:type="dxa"/>
            <w:bottom w:w="0" w:type="dxa"/>
            <w:right w:w="108" w:type="dxa"/>
          </w:tblCellMar>
        </w:tblPrEx>
        <w:trPr>
          <w:trHeight w:val="340" w:hRule="atLeast"/>
          <w:jc w:val="center"/>
        </w:trPr>
        <w:tc>
          <w:tcPr>
            <w:tcW w:w="740" w:type="dxa"/>
            <w:vMerge w:val="continue"/>
            <w:tcBorders>
              <w:top w:val="single" w:color="auto" w:sz="4" w:space="0"/>
              <w:left w:val="single" w:color="auto" w:sz="4" w:space="0"/>
              <w:bottom w:val="single" w:color="auto" w:sz="4" w:space="0"/>
              <w:right w:val="single" w:color="auto" w:sz="4" w:space="0"/>
            </w:tcBorders>
            <w:noWrap/>
            <w:vAlign w:val="center"/>
          </w:tcPr>
          <w:p>
            <w:pPr>
              <w:pStyle w:val="156"/>
              <w:jc w:val="center"/>
              <w:rPr>
                <w:rFonts w:hint="eastAsia" w:ascii="宋体" w:hAnsi="宋体" w:cs="宋体"/>
                <w:color w:val="000000"/>
                <w:sz w:val="21"/>
                <w:szCs w:val="21"/>
              </w:rPr>
            </w:pPr>
          </w:p>
        </w:tc>
        <w:tc>
          <w:tcPr>
            <w:tcW w:w="1060" w:type="dxa"/>
            <w:vMerge w:val="continue"/>
            <w:tcBorders>
              <w:top w:val="single" w:color="auto" w:sz="4" w:space="0"/>
              <w:left w:val="single" w:color="auto" w:sz="4" w:space="0"/>
              <w:bottom w:val="single" w:color="auto" w:sz="4" w:space="0"/>
              <w:right w:val="single" w:color="auto" w:sz="4" w:space="0"/>
            </w:tcBorders>
            <w:noWrap/>
            <w:vAlign w:val="center"/>
          </w:tcPr>
          <w:p>
            <w:pPr>
              <w:pStyle w:val="156"/>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pStyle w:val="156"/>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近三年（截止报价文件递交时间）参加军队采购未通过首检的，每次得-1分。</w:t>
            </w:r>
          </w:p>
          <w:p>
            <w:pPr>
              <w:pStyle w:val="156"/>
              <w:spacing w:line="44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（需求部门向采购管理部门提供违规供应商名单）</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56"/>
              <w:jc w:val="center"/>
              <w:rPr>
                <w:rFonts w:hint="eastAsia" w:ascii="宋体" w:hAnsi="宋体" w:cs="宋体"/>
                <w:color w:val="000000"/>
                <w:sz w:val="21"/>
                <w:szCs w:val="21"/>
              </w:rPr>
            </w:pPr>
            <w:r>
              <w:rPr>
                <w:rFonts w:hint="eastAsia" w:ascii="宋体" w:hAnsi="宋体" w:cs="宋体"/>
                <w:color w:val="000000"/>
                <w:sz w:val="21"/>
                <w:szCs w:val="21"/>
              </w:rPr>
              <w:t>可累计扣分</w:t>
            </w:r>
          </w:p>
        </w:tc>
      </w:tr>
      <w:tr>
        <w:tblPrEx>
          <w:tblCellMar>
            <w:top w:w="0" w:type="dxa"/>
            <w:left w:w="108" w:type="dxa"/>
            <w:bottom w:w="0" w:type="dxa"/>
            <w:right w:w="108" w:type="dxa"/>
          </w:tblCellMar>
        </w:tblPrEx>
        <w:trPr>
          <w:trHeight w:val="340" w:hRule="atLeast"/>
          <w:jc w:val="center"/>
        </w:trPr>
        <w:tc>
          <w:tcPr>
            <w:tcW w:w="740" w:type="dxa"/>
            <w:vMerge w:val="continue"/>
            <w:tcBorders>
              <w:top w:val="single" w:color="auto" w:sz="4" w:space="0"/>
              <w:left w:val="single" w:color="auto" w:sz="4" w:space="0"/>
              <w:bottom w:val="single" w:color="auto" w:sz="4" w:space="0"/>
              <w:right w:val="single" w:color="auto" w:sz="4" w:space="0"/>
            </w:tcBorders>
            <w:noWrap/>
            <w:vAlign w:val="center"/>
          </w:tcPr>
          <w:p>
            <w:pPr>
              <w:pStyle w:val="156"/>
              <w:jc w:val="center"/>
              <w:rPr>
                <w:rFonts w:hint="eastAsia" w:ascii="宋体" w:hAnsi="宋体" w:cs="宋体"/>
                <w:color w:val="000000"/>
                <w:sz w:val="21"/>
                <w:szCs w:val="21"/>
              </w:rPr>
            </w:pPr>
          </w:p>
        </w:tc>
        <w:tc>
          <w:tcPr>
            <w:tcW w:w="1060" w:type="dxa"/>
            <w:vMerge w:val="continue"/>
            <w:tcBorders>
              <w:top w:val="single" w:color="auto" w:sz="4" w:space="0"/>
              <w:left w:val="single" w:color="auto" w:sz="4" w:space="0"/>
              <w:bottom w:val="single" w:color="auto" w:sz="4" w:space="0"/>
              <w:right w:val="single" w:color="auto" w:sz="4" w:space="0"/>
            </w:tcBorders>
            <w:noWrap/>
            <w:vAlign w:val="center"/>
          </w:tcPr>
          <w:p>
            <w:pPr>
              <w:pStyle w:val="156"/>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pStyle w:val="156"/>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近三年（截止报价文件递交时间）参加军队采购产品出现重要质量问题的，每次得-2分。</w:t>
            </w:r>
          </w:p>
          <w:p>
            <w:pPr>
              <w:pStyle w:val="156"/>
              <w:spacing w:line="44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（需求部门向采购管理部门提供违规供应商名单）</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56"/>
              <w:jc w:val="center"/>
              <w:rPr>
                <w:rFonts w:hint="eastAsia" w:ascii="宋体" w:hAnsi="宋体" w:cs="宋体"/>
                <w:color w:val="000000"/>
                <w:sz w:val="21"/>
                <w:szCs w:val="21"/>
              </w:rPr>
            </w:pPr>
            <w:r>
              <w:rPr>
                <w:rFonts w:hint="eastAsia" w:ascii="宋体" w:hAnsi="宋体" w:cs="宋体"/>
                <w:color w:val="000000"/>
                <w:sz w:val="21"/>
                <w:szCs w:val="21"/>
              </w:rPr>
              <w:t>可累计扣分</w:t>
            </w:r>
          </w:p>
        </w:tc>
      </w:tr>
      <w:tr>
        <w:tblPrEx>
          <w:tblCellMar>
            <w:top w:w="0" w:type="dxa"/>
            <w:left w:w="108" w:type="dxa"/>
            <w:bottom w:w="0" w:type="dxa"/>
            <w:right w:w="108" w:type="dxa"/>
          </w:tblCellMar>
        </w:tblPrEx>
        <w:trPr>
          <w:trHeight w:val="340" w:hRule="atLeast"/>
          <w:jc w:val="center"/>
        </w:trPr>
        <w:tc>
          <w:tcPr>
            <w:tcW w:w="740" w:type="dxa"/>
            <w:vMerge w:val="continue"/>
            <w:tcBorders>
              <w:top w:val="single" w:color="auto" w:sz="4" w:space="0"/>
              <w:left w:val="single" w:color="auto" w:sz="4" w:space="0"/>
              <w:bottom w:val="single" w:color="auto" w:sz="4" w:space="0"/>
              <w:right w:val="single" w:color="auto" w:sz="4" w:space="0"/>
            </w:tcBorders>
            <w:noWrap/>
            <w:vAlign w:val="center"/>
          </w:tcPr>
          <w:p>
            <w:pPr>
              <w:pStyle w:val="156"/>
              <w:jc w:val="center"/>
              <w:rPr>
                <w:rFonts w:hint="eastAsia" w:ascii="宋体" w:hAnsi="宋体" w:cs="宋体"/>
                <w:color w:val="000000"/>
                <w:sz w:val="21"/>
                <w:szCs w:val="21"/>
              </w:rPr>
            </w:pPr>
          </w:p>
        </w:tc>
        <w:tc>
          <w:tcPr>
            <w:tcW w:w="1060" w:type="dxa"/>
            <w:vMerge w:val="continue"/>
            <w:tcBorders>
              <w:top w:val="single" w:color="auto" w:sz="4" w:space="0"/>
              <w:left w:val="single" w:color="auto" w:sz="4" w:space="0"/>
              <w:bottom w:val="single" w:color="auto" w:sz="4" w:space="0"/>
              <w:right w:val="single" w:color="auto" w:sz="4" w:space="0"/>
            </w:tcBorders>
            <w:noWrap/>
            <w:vAlign w:val="center"/>
          </w:tcPr>
          <w:p>
            <w:pPr>
              <w:pStyle w:val="156"/>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pStyle w:val="156"/>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5.近1年（截止报价文件递交时间）内参与大学及上级采购活动中存在不良记录的，每次得-1分。（每次违规计-1分，当年累计扣满3分暂停参加大学采购活动1年）（由采购机构提供违规供应商名单）。</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56"/>
              <w:jc w:val="center"/>
              <w:rPr>
                <w:rFonts w:hint="eastAsia" w:ascii="宋体" w:hAnsi="宋体" w:cs="宋体"/>
                <w:color w:val="000000"/>
                <w:sz w:val="21"/>
                <w:szCs w:val="21"/>
              </w:rPr>
            </w:pPr>
            <w:r>
              <w:rPr>
                <w:rFonts w:hint="eastAsia" w:ascii="宋体" w:hAnsi="宋体" w:cs="宋体"/>
                <w:color w:val="000000"/>
                <w:sz w:val="21"/>
                <w:szCs w:val="21"/>
              </w:rPr>
              <w:t>可累计扣分</w:t>
            </w:r>
          </w:p>
        </w:tc>
      </w:tr>
      <w:tr>
        <w:tblPrEx>
          <w:tblCellMar>
            <w:top w:w="0" w:type="dxa"/>
            <w:left w:w="108" w:type="dxa"/>
            <w:bottom w:w="0" w:type="dxa"/>
            <w:right w:w="108" w:type="dxa"/>
          </w:tblCellMar>
        </w:tblPrEx>
        <w:trPr>
          <w:trHeight w:val="340" w:hRule="atLeast"/>
          <w:jc w:val="center"/>
        </w:trPr>
        <w:tc>
          <w:tcPr>
            <w:tcW w:w="740" w:type="dxa"/>
            <w:tcBorders>
              <w:top w:val="single" w:color="auto" w:sz="4" w:space="0"/>
              <w:left w:val="single" w:color="auto" w:sz="4" w:space="0"/>
              <w:bottom w:val="single" w:color="auto" w:sz="4" w:space="0"/>
              <w:right w:val="single" w:color="auto" w:sz="4" w:space="0"/>
            </w:tcBorders>
            <w:noWrap/>
            <w:vAlign w:val="center"/>
          </w:tcPr>
          <w:p>
            <w:pPr>
              <w:pStyle w:val="156"/>
              <w:jc w:val="center"/>
              <w:rPr>
                <w:rFonts w:hint="eastAsia" w:ascii="宋体" w:hAnsi="宋体" w:cs="宋体"/>
                <w:color w:val="000000"/>
                <w:sz w:val="21"/>
                <w:szCs w:val="21"/>
              </w:rPr>
            </w:pPr>
            <w:r>
              <w:rPr>
                <w:rFonts w:hint="eastAsia" w:ascii="宋体" w:hAnsi="宋体" w:cs="宋体"/>
                <w:color w:val="000000"/>
                <w:sz w:val="21"/>
                <w:szCs w:val="21"/>
              </w:rPr>
              <w:t>五</w:t>
            </w:r>
          </w:p>
        </w:tc>
        <w:tc>
          <w:tcPr>
            <w:tcW w:w="1060" w:type="dxa"/>
            <w:tcBorders>
              <w:top w:val="single" w:color="auto" w:sz="4" w:space="0"/>
              <w:left w:val="nil"/>
              <w:bottom w:val="single" w:color="auto" w:sz="4" w:space="0"/>
              <w:right w:val="single" w:color="auto" w:sz="4" w:space="0"/>
            </w:tcBorders>
            <w:noWrap/>
            <w:vAlign w:val="center"/>
          </w:tcPr>
          <w:p>
            <w:pPr>
              <w:widowControl/>
              <w:snapToGrid w:val="0"/>
              <w:spacing w:line="240" w:lineRule="exact"/>
              <w:rPr>
                <w:rFonts w:hint="eastAsia" w:ascii="宋体" w:hAnsi="宋体" w:cs="宋体"/>
                <w:color w:val="000000"/>
                <w:sz w:val="21"/>
                <w:szCs w:val="21"/>
              </w:rPr>
            </w:pPr>
            <w:r>
              <w:rPr>
                <w:rFonts w:hint="eastAsia" w:ascii="宋体" w:hAnsi="宋体" w:cs="宋体"/>
                <w:color w:val="000000"/>
                <w:sz w:val="21"/>
                <w:szCs w:val="21"/>
              </w:rPr>
              <w:t>财务状况</w:t>
            </w:r>
          </w:p>
        </w:tc>
        <w:tc>
          <w:tcPr>
            <w:tcW w:w="6260" w:type="dxa"/>
            <w:tcBorders>
              <w:top w:val="single" w:color="auto" w:sz="4" w:space="0"/>
              <w:left w:val="nil"/>
              <w:bottom w:val="single" w:color="auto" w:sz="4" w:space="0"/>
              <w:right w:val="single" w:color="auto" w:sz="4" w:space="0"/>
            </w:tcBorders>
            <w:noWrap w:val="0"/>
            <w:vAlign w:val="center"/>
          </w:tcPr>
          <w:p>
            <w:pPr>
              <w:pStyle w:val="156"/>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根据报价方近1年（202</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年）净利润金额排名进行评审：第一名得1分，依次递减0.2分，净利润为负值的得0分。</w:t>
            </w:r>
          </w:p>
          <w:p>
            <w:pPr>
              <w:pStyle w:val="156"/>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【以第三方会计师事务所出具的审计报告或公司财务报告（表）数据为准，未提供的得0分】</w:t>
            </w:r>
          </w:p>
        </w:tc>
        <w:tc>
          <w:tcPr>
            <w:tcW w:w="1077" w:type="dxa"/>
            <w:tcBorders>
              <w:top w:val="single" w:color="auto" w:sz="4" w:space="0"/>
              <w:left w:val="nil"/>
              <w:bottom w:val="single" w:color="auto" w:sz="4" w:space="0"/>
              <w:right w:val="single" w:color="auto" w:sz="4" w:space="0"/>
            </w:tcBorders>
            <w:noWrap/>
            <w:vAlign w:val="center"/>
          </w:tcPr>
          <w:p>
            <w:pPr>
              <w:widowControl/>
              <w:snapToGrid w:val="0"/>
              <w:spacing w:line="240" w:lineRule="exac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CellMar>
            <w:top w:w="0" w:type="dxa"/>
            <w:left w:w="108" w:type="dxa"/>
            <w:bottom w:w="0" w:type="dxa"/>
            <w:right w:w="108" w:type="dxa"/>
          </w:tblCellMar>
        </w:tblPrEx>
        <w:trPr>
          <w:trHeight w:val="1445" w:hRule="atLeast"/>
          <w:jc w:val="center"/>
        </w:trPr>
        <w:tc>
          <w:tcPr>
            <w:tcW w:w="740" w:type="dxa"/>
            <w:tcBorders>
              <w:top w:val="single" w:color="auto" w:sz="4" w:space="0"/>
              <w:left w:val="single" w:color="auto" w:sz="4" w:space="0"/>
              <w:bottom w:val="single" w:color="auto" w:sz="4" w:space="0"/>
              <w:right w:val="single" w:color="auto" w:sz="4" w:space="0"/>
            </w:tcBorders>
            <w:noWrap/>
            <w:vAlign w:val="center"/>
          </w:tcPr>
          <w:p>
            <w:pPr>
              <w:pStyle w:val="156"/>
              <w:jc w:val="center"/>
              <w:rPr>
                <w:rFonts w:hint="eastAsia" w:ascii="宋体" w:hAnsi="宋体" w:cs="宋体"/>
                <w:color w:val="000000"/>
                <w:sz w:val="21"/>
                <w:szCs w:val="21"/>
              </w:rPr>
            </w:pPr>
            <w:r>
              <w:rPr>
                <w:rFonts w:hint="eastAsia" w:ascii="宋体" w:hAnsi="宋体" w:cs="宋体"/>
                <w:color w:val="000000"/>
                <w:sz w:val="21"/>
                <w:szCs w:val="21"/>
              </w:rPr>
              <w:t>六</w:t>
            </w:r>
          </w:p>
        </w:tc>
        <w:tc>
          <w:tcPr>
            <w:tcW w:w="1060" w:type="dxa"/>
            <w:tcBorders>
              <w:top w:val="single" w:color="auto" w:sz="4" w:space="0"/>
              <w:left w:val="nil"/>
              <w:bottom w:val="single" w:color="auto" w:sz="4" w:space="0"/>
              <w:right w:val="single" w:color="auto" w:sz="4" w:space="0"/>
            </w:tcBorders>
            <w:noWrap/>
            <w:vAlign w:val="center"/>
          </w:tcPr>
          <w:p>
            <w:pPr>
              <w:widowControl/>
              <w:snapToGrid w:val="0"/>
              <w:spacing w:line="240" w:lineRule="exact"/>
              <w:jc w:val="center"/>
              <w:rPr>
                <w:rFonts w:hint="eastAsia" w:ascii="宋体" w:hAnsi="宋体" w:cs="宋体"/>
                <w:color w:val="000000"/>
                <w:sz w:val="21"/>
                <w:szCs w:val="21"/>
              </w:rPr>
            </w:pPr>
            <w:r>
              <w:rPr>
                <w:rFonts w:hint="eastAsia" w:ascii="宋体" w:hAnsi="宋体" w:cs="宋体"/>
                <w:color w:val="000000"/>
                <w:sz w:val="21"/>
                <w:szCs w:val="21"/>
                <w:lang w:eastAsia="zh-CN"/>
              </w:rPr>
              <w:t>报价</w:t>
            </w:r>
            <w:r>
              <w:rPr>
                <w:rFonts w:hint="eastAsia" w:ascii="宋体" w:hAnsi="宋体" w:cs="宋体"/>
                <w:color w:val="000000"/>
                <w:sz w:val="21"/>
                <w:szCs w:val="21"/>
              </w:rPr>
              <w:t>人性质</w:t>
            </w:r>
          </w:p>
        </w:tc>
        <w:tc>
          <w:tcPr>
            <w:tcW w:w="6260" w:type="dxa"/>
            <w:tcBorders>
              <w:top w:val="single" w:color="auto" w:sz="4" w:space="0"/>
              <w:left w:val="nil"/>
              <w:bottom w:val="single" w:color="auto" w:sz="4" w:space="0"/>
              <w:right w:val="single" w:color="auto" w:sz="4" w:space="0"/>
            </w:tcBorders>
            <w:noWrap w:val="0"/>
            <w:vAlign w:val="center"/>
          </w:tcPr>
          <w:p>
            <w:pPr>
              <w:pStyle w:val="156"/>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报价方是本项目所</w:t>
            </w:r>
            <w:r>
              <w:rPr>
                <w:rFonts w:hint="eastAsia" w:ascii="宋体" w:hAnsi="宋体" w:eastAsia="宋体" w:cs="宋体"/>
                <w:color w:val="000000"/>
                <w:sz w:val="21"/>
                <w:szCs w:val="21"/>
                <w:lang w:eastAsia="zh-CN"/>
              </w:rPr>
              <w:t>报</w:t>
            </w:r>
            <w:r>
              <w:rPr>
                <w:rFonts w:hint="eastAsia" w:ascii="宋体" w:hAnsi="宋体" w:eastAsia="宋体" w:cs="宋体"/>
                <w:color w:val="000000"/>
                <w:sz w:val="21"/>
                <w:szCs w:val="21"/>
              </w:rPr>
              <w:t>产品的生产企业或进口产品全国（大区）</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至少包含三个省级区域</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代理的得2分，否则得0分。</w:t>
            </w:r>
          </w:p>
          <w:p>
            <w:pPr>
              <w:pStyle w:val="156"/>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以</w:t>
            </w:r>
            <w:r>
              <w:rPr>
                <w:rFonts w:hint="eastAsia" w:ascii="宋体" w:hAnsi="宋体" w:eastAsia="宋体" w:cs="宋体"/>
                <w:color w:val="000000"/>
                <w:sz w:val="21"/>
                <w:szCs w:val="21"/>
                <w:lang w:eastAsia="zh-CN"/>
              </w:rPr>
              <w:t>报价</w:t>
            </w:r>
            <w:r>
              <w:rPr>
                <w:rFonts w:hint="eastAsia" w:ascii="宋体" w:hAnsi="宋体" w:eastAsia="宋体" w:cs="宋体"/>
                <w:color w:val="000000"/>
                <w:sz w:val="21"/>
                <w:szCs w:val="21"/>
              </w:rPr>
              <w:t>人提供的“生产厂家出具的授权文件”</w:t>
            </w:r>
            <w:r>
              <w:rPr>
                <w:rFonts w:hint="eastAsia" w:ascii="宋体" w:hAnsi="宋体" w:eastAsia="宋体" w:cs="宋体"/>
                <w:color w:val="000000"/>
                <w:sz w:val="21"/>
                <w:szCs w:val="21"/>
                <w:lang w:val="en-US" w:eastAsia="zh-CN"/>
              </w:rPr>
              <w:t>为准</w:t>
            </w:r>
            <w:r>
              <w:rPr>
                <w:rFonts w:hint="eastAsia" w:ascii="宋体" w:hAnsi="宋体" w:eastAsia="宋体" w:cs="宋体"/>
                <w:color w:val="000000"/>
                <w:sz w:val="21"/>
                <w:szCs w:val="21"/>
              </w:rPr>
              <w:t>】</w:t>
            </w:r>
          </w:p>
        </w:tc>
        <w:tc>
          <w:tcPr>
            <w:tcW w:w="1077" w:type="dxa"/>
            <w:tcBorders>
              <w:top w:val="single" w:color="auto" w:sz="4" w:space="0"/>
              <w:left w:val="nil"/>
              <w:bottom w:val="single" w:color="auto" w:sz="4" w:space="0"/>
              <w:right w:val="single" w:color="auto" w:sz="4" w:space="0"/>
            </w:tcBorders>
            <w:noWrap/>
            <w:vAlign w:val="center"/>
          </w:tcPr>
          <w:p>
            <w:pPr>
              <w:widowControl/>
              <w:snapToGrid w:val="0"/>
              <w:spacing w:line="240" w:lineRule="exact"/>
              <w:jc w:val="center"/>
              <w:rPr>
                <w:rFonts w:hint="eastAsia" w:ascii="宋体" w:hAnsi="宋体" w:cs="宋体"/>
                <w:color w:val="000000"/>
                <w:sz w:val="21"/>
                <w:szCs w:val="21"/>
              </w:rPr>
            </w:pPr>
            <w:r>
              <w:rPr>
                <w:rFonts w:hint="eastAsia" w:ascii="宋体" w:hAnsi="宋体" w:cs="宋体"/>
                <w:color w:val="000000"/>
                <w:sz w:val="21"/>
                <w:szCs w:val="21"/>
              </w:rPr>
              <w:t>2分</w:t>
            </w:r>
          </w:p>
        </w:tc>
      </w:tr>
      <w:tr>
        <w:tblPrEx>
          <w:tblCellMar>
            <w:top w:w="0" w:type="dxa"/>
            <w:left w:w="108" w:type="dxa"/>
            <w:bottom w:w="0" w:type="dxa"/>
            <w:right w:w="108" w:type="dxa"/>
          </w:tblCellMar>
        </w:tblPrEx>
        <w:trPr>
          <w:trHeight w:val="663" w:hRule="atLeast"/>
          <w:jc w:val="center"/>
        </w:trPr>
        <w:tc>
          <w:tcPr>
            <w:tcW w:w="8060" w:type="dxa"/>
            <w:gridSpan w:val="3"/>
            <w:tcBorders>
              <w:top w:val="single" w:color="auto" w:sz="4" w:space="0"/>
              <w:left w:val="single" w:color="auto" w:sz="4" w:space="0"/>
              <w:bottom w:val="single" w:color="auto" w:sz="4" w:space="0"/>
              <w:right w:val="single" w:color="auto" w:sz="4" w:space="0"/>
            </w:tcBorders>
            <w:noWrap/>
            <w:vAlign w:val="center"/>
          </w:tcPr>
          <w:p>
            <w:pPr>
              <w:pStyle w:val="156"/>
              <w:jc w:val="center"/>
              <w:rPr>
                <w:color w:val="000000"/>
              </w:rPr>
            </w:pPr>
            <w:r>
              <w:rPr>
                <w:rFonts w:hint="eastAsia"/>
                <w:b/>
                <w:bCs/>
                <w:color w:val="000000"/>
              </w:rPr>
              <w:t>合    计</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56"/>
              <w:jc w:val="center"/>
              <w:rPr>
                <w:color w:val="000000"/>
              </w:rPr>
            </w:pPr>
            <w:r>
              <w:rPr>
                <w:rFonts w:hint="eastAsia"/>
                <w:color w:val="000000"/>
              </w:rPr>
              <w:t>40分</w:t>
            </w:r>
          </w:p>
        </w:tc>
      </w:tr>
    </w:tbl>
    <w:p>
      <w:pPr>
        <w:outlineLvl w:val="2"/>
        <w:rPr>
          <w:rFonts w:hint="default" w:ascii="黑体" w:hAnsi="黑体" w:eastAsia="黑体"/>
          <w:sz w:val="32"/>
          <w:szCs w:val="32"/>
          <w:highlight w:val="green"/>
          <w:lang w:val="en-US" w:eastAsia="zh-CN"/>
        </w:rPr>
      </w:pPr>
      <w:r>
        <w:rPr>
          <w:rFonts w:hint="eastAsia" w:ascii="黑体" w:hAnsi="黑体" w:eastAsia="黑体"/>
          <w:sz w:val="32"/>
          <w:szCs w:val="32"/>
          <w:highlight w:val="green"/>
        </w:rPr>
        <w:br w:type="page"/>
      </w:r>
      <w:bookmarkStart w:id="799" w:name="_Toc15885"/>
      <w:bookmarkStart w:id="800" w:name="_Toc22710"/>
      <w:bookmarkStart w:id="801" w:name="_Toc11047"/>
      <w:r>
        <w:rPr>
          <w:rFonts w:hint="eastAsia" w:ascii="黑体" w:hAnsi="黑体" w:eastAsia="黑体" w:cs="Times New Roman"/>
          <w:b w:val="0"/>
          <w:bCs/>
          <w:kern w:val="2"/>
          <w:sz w:val="28"/>
          <w:szCs w:val="28"/>
          <w:lang w:val="en-US" w:eastAsia="zh-CN" w:bidi="ar-SA"/>
        </w:rPr>
        <w:t>附表4 技术评审标准表</w:t>
      </w:r>
      <w:bookmarkEnd w:id="799"/>
      <w:bookmarkEnd w:id="800"/>
      <w:bookmarkEnd w:id="801"/>
    </w:p>
    <w:p>
      <w:pPr>
        <w:pStyle w:val="159"/>
        <w:jc w:val="center"/>
        <w:outlineLvl w:val="9"/>
        <w:rPr>
          <w:rFonts w:hint="eastAsia" w:ascii="Times New Roman" w:hAnsi="Times New Roman" w:eastAsia="宋体" w:cs="Times New Roman"/>
          <w:color w:val="000000"/>
        </w:rPr>
      </w:pPr>
      <w:bookmarkStart w:id="802" w:name="_Toc527"/>
      <w:r>
        <w:rPr>
          <w:rFonts w:hint="eastAsia" w:ascii="Times New Roman" w:hAnsi="Times New Roman" w:eastAsia="宋体" w:cs="Times New Roman"/>
          <w:color w:val="000000"/>
        </w:rPr>
        <w:t>技术评审标准表</w:t>
      </w:r>
      <w:bookmarkEnd w:id="802"/>
    </w:p>
    <w:p>
      <w:pPr>
        <w:pStyle w:val="160"/>
        <w:jc w:val="both"/>
        <w:rPr>
          <w:rFonts w:hint="eastAsia"/>
          <w:color w:val="000000"/>
        </w:rPr>
      </w:pPr>
      <w:r>
        <w:rPr>
          <w:bCs/>
          <w:color w:val="000000"/>
        </w:rPr>
        <w:t>项目名称：</w:t>
      </w:r>
      <w:r>
        <w:rPr>
          <w:bCs/>
          <w:color w:val="000000"/>
          <w:u w:val="single"/>
        </w:rPr>
        <w:t xml:space="preserve">          </w:t>
      </w:r>
      <w:r>
        <w:rPr>
          <w:rFonts w:hint="eastAsia"/>
          <w:bCs/>
          <w:color w:val="000000"/>
          <w:u w:val="single"/>
        </w:rPr>
        <w:t xml:space="preserve">           </w:t>
      </w:r>
      <w:r>
        <w:rPr>
          <w:bCs/>
          <w:color w:val="000000"/>
          <w:u w:val="single"/>
        </w:rPr>
        <w:t xml:space="preserve">    </w:t>
      </w:r>
      <w:r>
        <w:rPr>
          <w:bCs/>
          <w:color w:val="000000"/>
        </w:rPr>
        <w:t xml:space="preserve">     项目编号：</w:t>
      </w:r>
      <w:r>
        <w:rPr>
          <w:bCs/>
          <w:color w:val="000000"/>
          <w:u w:val="single"/>
        </w:rPr>
        <w:t xml:space="preserve">            </w:t>
      </w:r>
      <w:r>
        <w:rPr>
          <w:bCs/>
          <w:color w:val="000000"/>
        </w:rPr>
        <w:t xml:space="preserve">       包号：</w:t>
      </w:r>
      <w:r>
        <w:rPr>
          <w:rFonts w:hint="eastAsia"/>
          <w:bCs/>
          <w:color w:val="000000"/>
          <w:u w:val="single"/>
        </w:rPr>
        <w:t xml:space="preserve">          </w:t>
      </w:r>
    </w:p>
    <w:tbl>
      <w:tblPr>
        <w:tblStyle w:val="44"/>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149"/>
        <w:gridCol w:w="4033"/>
        <w:gridCol w:w="1965"/>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noWrap/>
            <w:vAlign w:val="center"/>
          </w:tcPr>
          <w:p>
            <w:pPr>
              <w:pStyle w:val="156"/>
              <w:spacing w:line="360" w:lineRule="atLeast"/>
              <w:jc w:val="center"/>
              <w:rPr>
                <w:b/>
                <w:bCs/>
                <w:color w:val="000000"/>
              </w:rPr>
            </w:pPr>
            <w:r>
              <w:rPr>
                <w:rFonts w:hint="eastAsia"/>
                <w:b/>
                <w:bCs/>
                <w:color w:val="000000"/>
              </w:rPr>
              <w:t>序号</w:t>
            </w:r>
          </w:p>
        </w:tc>
        <w:tc>
          <w:tcPr>
            <w:tcW w:w="1149" w:type="dxa"/>
            <w:noWrap/>
            <w:vAlign w:val="center"/>
          </w:tcPr>
          <w:p>
            <w:pPr>
              <w:pStyle w:val="156"/>
              <w:spacing w:line="360" w:lineRule="atLeast"/>
              <w:jc w:val="center"/>
              <w:rPr>
                <w:b/>
                <w:bCs/>
                <w:color w:val="000000"/>
              </w:rPr>
            </w:pPr>
            <w:r>
              <w:rPr>
                <w:rFonts w:hint="eastAsia"/>
                <w:b/>
                <w:bCs/>
                <w:color w:val="000000"/>
              </w:rPr>
              <w:t>评审项目</w:t>
            </w:r>
          </w:p>
        </w:tc>
        <w:tc>
          <w:tcPr>
            <w:tcW w:w="5998" w:type="dxa"/>
            <w:gridSpan w:val="2"/>
            <w:noWrap/>
            <w:vAlign w:val="center"/>
          </w:tcPr>
          <w:p>
            <w:pPr>
              <w:pStyle w:val="156"/>
              <w:spacing w:line="360" w:lineRule="atLeast"/>
              <w:jc w:val="center"/>
              <w:rPr>
                <w:b/>
                <w:bCs/>
                <w:color w:val="000000"/>
              </w:rPr>
            </w:pPr>
            <w:r>
              <w:rPr>
                <w:rFonts w:hint="eastAsia"/>
                <w:b/>
                <w:bCs/>
                <w:color w:val="000000"/>
              </w:rPr>
              <w:t>评审内容及规则</w:t>
            </w:r>
          </w:p>
        </w:tc>
        <w:tc>
          <w:tcPr>
            <w:tcW w:w="1389" w:type="dxa"/>
            <w:noWrap/>
            <w:vAlign w:val="center"/>
          </w:tcPr>
          <w:p>
            <w:pPr>
              <w:pStyle w:val="156"/>
              <w:spacing w:line="360" w:lineRule="atLeast"/>
              <w:jc w:val="center"/>
              <w:rPr>
                <w:b/>
                <w:bCs/>
                <w:color w:val="000000"/>
              </w:rPr>
            </w:pPr>
            <w:r>
              <w:rPr>
                <w:rFonts w:hint="eastAsia"/>
                <w:b/>
                <w:bCs/>
                <w:color w:val="000000"/>
              </w:rPr>
              <w:t>标准分值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restart"/>
            <w:noWrap/>
            <w:vAlign w:val="center"/>
          </w:tcPr>
          <w:p>
            <w:pPr>
              <w:pStyle w:val="156"/>
              <w:spacing w:line="360" w:lineRule="atLeast"/>
              <w:jc w:val="center"/>
              <w:rPr>
                <w:rFonts w:hint="eastAsia"/>
                <w:color w:val="000000"/>
              </w:rPr>
            </w:pPr>
            <w:r>
              <w:rPr>
                <w:rFonts w:hint="eastAsia"/>
                <w:color w:val="000000"/>
              </w:rPr>
              <w:t>一</w:t>
            </w:r>
          </w:p>
        </w:tc>
        <w:tc>
          <w:tcPr>
            <w:tcW w:w="1149" w:type="dxa"/>
            <w:vMerge w:val="restart"/>
            <w:noWrap w:val="0"/>
            <w:vAlign w:val="center"/>
          </w:tcPr>
          <w:p>
            <w:pPr>
              <w:pStyle w:val="156"/>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技术力量</w:t>
            </w:r>
          </w:p>
        </w:tc>
        <w:tc>
          <w:tcPr>
            <w:tcW w:w="5998" w:type="dxa"/>
            <w:gridSpan w:val="2"/>
            <w:noWrap w:val="0"/>
            <w:vAlign w:val="center"/>
          </w:tcPr>
          <w:p>
            <w:pPr>
              <w:spacing w:line="360" w:lineRule="atLeast"/>
              <w:ind w:left="0" w:leftChars="0" w:firstLine="0" w:firstLineChars="0"/>
              <w:rPr>
                <w:rFonts w:hint="eastAsia" w:ascii="宋体" w:hAnsi="宋体" w:cs="宋体"/>
                <w:color w:val="000000"/>
                <w:sz w:val="21"/>
                <w:szCs w:val="21"/>
              </w:rPr>
            </w:pPr>
            <w:r>
              <w:rPr>
                <w:rFonts w:hint="eastAsia"/>
                <w:color w:val="000000"/>
              </w:rPr>
              <w:t>1.提供所</w:t>
            </w:r>
            <w:r>
              <w:rPr>
                <w:rFonts w:hint="eastAsia"/>
                <w:color w:val="000000"/>
                <w:lang w:eastAsia="zh-CN"/>
              </w:rPr>
              <w:t>报</w:t>
            </w:r>
            <w:r>
              <w:rPr>
                <w:rFonts w:hint="eastAsia"/>
                <w:color w:val="000000"/>
              </w:rPr>
              <w:t>产品技术专利证书（不包括外观专利）的，每提供1项得0.2分，最多得1分。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6"/>
              <w:spacing w:line="360" w:lineRule="atLeast"/>
              <w:jc w:val="center"/>
              <w:rPr>
                <w:color w:val="000000"/>
              </w:rPr>
            </w:pPr>
          </w:p>
        </w:tc>
        <w:tc>
          <w:tcPr>
            <w:tcW w:w="1149" w:type="dxa"/>
            <w:vMerge w:val="continue"/>
            <w:noWrap w:val="0"/>
            <w:vAlign w:val="center"/>
          </w:tcPr>
          <w:p>
            <w:pPr>
              <w:pStyle w:val="156"/>
              <w:spacing w:line="360" w:lineRule="atLeast"/>
              <w:jc w:val="center"/>
              <w:rPr>
                <w:rFonts w:hint="eastAsia" w:ascii="宋体" w:hAnsi="宋体" w:cs="宋体"/>
                <w:color w:val="000000"/>
                <w:sz w:val="21"/>
                <w:szCs w:val="21"/>
              </w:rPr>
            </w:pPr>
          </w:p>
        </w:tc>
        <w:tc>
          <w:tcPr>
            <w:tcW w:w="5998" w:type="dxa"/>
            <w:gridSpan w:val="2"/>
            <w:noWrap w:val="0"/>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2.所投产品具有CE或EC认证的得1分，否则得0分（附中文译文）</w:t>
            </w:r>
            <w:r>
              <w:rPr>
                <w:rFonts w:hint="eastAsia" w:ascii="宋体" w:hAnsi="宋体" w:cs="宋体"/>
                <w:color w:val="000000"/>
                <w:sz w:val="21"/>
                <w:szCs w:val="21"/>
                <w:lang w:eastAsia="zh-CN"/>
              </w:rPr>
              <w:t>。</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6"/>
              <w:spacing w:line="360" w:lineRule="atLeast"/>
              <w:jc w:val="center"/>
              <w:rPr>
                <w:color w:val="000000"/>
              </w:rPr>
            </w:pPr>
          </w:p>
        </w:tc>
        <w:tc>
          <w:tcPr>
            <w:tcW w:w="1149" w:type="dxa"/>
            <w:vMerge w:val="continue"/>
            <w:noWrap w:val="0"/>
            <w:vAlign w:val="center"/>
          </w:tcPr>
          <w:p>
            <w:pPr>
              <w:pStyle w:val="156"/>
              <w:spacing w:line="360" w:lineRule="atLeast"/>
              <w:jc w:val="center"/>
              <w:rPr>
                <w:rFonts w:hint="eastAsia" w:ascii="宋体" w:hAnsi="宋体" w:cs="宋体"/>
                <w:color w:val="000000"/>
                <w:sz w:val="21"/>
                <w:szCs w:val="21"/>
              </w:rPr>
            </w:pPr>
          </w:p>
        </w:tc>
        <w:tc>
          <w:tcPr>
            <w:tcW w:w="5998" w:type="dxa"/>
            <w:gridSpan w:val="2"/>
            <w:noWrap w:val="0"/>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3.所投产品具有FDA认证的得1分，否则得0分（附中文译文）。</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6"/>
              <w:spacing w:line="360" w:lineRule="atLeast"/>
              <w:jc w:val="center"/>
              <w:rPr>
                <w:color w:val="000000"/>
              </w:rPr>
            </w:pPr>
          </w:p>
        </w:tc>
        <w:tc>
          <w:tcPr>
            <w:tcW w:w="1149" w:type="dxa"/>
            <w:vMerge w:val="continue"/>
            <w:noWrap w:val="0"/>
            <w:vAlign w:val="center"/>
          </w:tcPr>
          <w:p>
            <w:pPr>
              <w:pStyle w:val="156"/>
              <w:spacing w:line="360" w:lineRule="atLeast"/>
              <w:jc w:val="center"/>
              <w:rPr>
                <w:rFonts w:hint="eastAsia" w:ascii="宋体" w:hAnsi="宋体" w:cs="宋体"/>
                <w:color w:val="000000"/>
                <w:sz w:val="21"/>
                <w:szCs w:val="21"/>
              </w:rPr>
            </w:pPr>
          </w:p>
        </w:tc>
        <w:tc>
          <w:tcPr>
            <w:tcW w:w="5998" w:type="dxa"/>
            <w:gridSpan w:val="2"/>
            <w:noWrap w:val="0"/>
            <w:vAlign w:val="center"/>
          </w:tcPr>
          <w:p>
            <w:pPr>
              <w:spacing w:line="360" w:lineRule="atLeast"/>
              <w:ind w:left="0" w:leftChars="0" w:firstLine="0" w:firstLineChars="0"/>
              <w:rPr>
                <w:rFonts w:hint="eastAsia" w:ascii="宋体" w:hAnsi="宋体" w:cs="宋体"/>
                <w:color w:val="000000"/>
                <w:sz w:val="21"/>
                <w:szCs w:val="21"/>
              </w:rPr>
            </w:pPr>
            <w:r>
              <w:rPr>
                <w:rFonts w:hint="eastAsia" w:eastAsia="宋体"/>
                <w:color w:val="000000"/>
              </w:rPr>
              <w:t>4.所</w:t>
            </w:r>
            <w:r>
              <w:rPr>
                <w:rFonts w:hint="eastAsia"/>
                <w:color w:val="000000"/>
                <w:lang w:eastAsia="zh-CN"/>
              </w:rPr>
              <w:t>报</w:t>
            </w:r>
            <w:r>
              <w:rPr>
                <w:rFonts w:hint="eastAsia" w:eastAsia="宋体"/>
                <w:color w:val="000000"/>
              </w:rPr>
              <w:t>产品的同种产品投放市场时间最早的得2分，依次递减0.5分。【提供医疗器械注册证，并以生产企业生产该种产品首次获得国家药品监督部门出具的医疗器械注册证有效期起始时间为准。未提供的得0分】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6"/>
              <w:spacing w:line="360" w:lineRule="atLeast"/>
              <w:jc w:val="center"/>
              <w:rPr>
                <w:color w:val="000000"/>
              </w:rPr>
            </w:pPr>
          </w:p>
        </w:tc>
        <w:tc>
          <w:tcPr>
            <w:tcW w:w="1149" w:type="dxa"/>
            <w:vMerge w:val="continue"/>
            <w:noWrap w:val="0"/>
            <w:vAlign w:val="center"/>
          </w:tcPr>
          <w:p>
            <w:pPr>
              <w:pStyle w:val="156"/>
              <w:spacing w:line="360" w:lineRule="atLeast"/>
              <w:jc w:val="center"/>
              <w:rPr>
                <w:rFonts w:hint="eastAsia" w:ascii="宋体" w:hAnsi="宋体" w:cs="宋体"/>
                <w:color w:val="000000"/>
                <w:sz w:val="21"/>
                <w:szCs w:val="21"/>
              </w:rPr>
            </w:pPr>
          </w:p>
        </w:tc>
        <w:tc>
          <w:tcPr>
            <w:tcW w:w="5998" w:type="dxa"/>
            <w:gridSpan w:val="2"/>
            <w:noWrap w:val="0"/>
            <w:vAlign w:val="center"/>
          </w:tcPr>
          <w:p>
            <w:pPr>
              <w:spacing w:line="360" w:lineRule="atLeast"/>
              <w:ind w:left="0" w:leftChars="0" w:firstLine="0" w:firstLineChars="0"/>
              <w:rPr>
                <w:rFonts w:hint="eastAsia" w:ascii="宋体" w:hAnsi="宋体" w:cs="宋体"/>
                <w:color w:val="000000"/>
                <w:sz w:val="21"/>
                <w:szCs w:val="21"/>
              </w:rPr>
            </w:pPr>
            <w:r>
              <w:rPr>
                <w:rFonts w:hint="eastAsia"/>
                <w:color w:val="000000"/>
              </w:rPr>
              <w:t>5.</w:t>
            </w:r>
            <w:r>
              <w:rPr>
                <w:rFonts w:hint="eastAsia" w:ascii="宋体" w:hAnsi="宋体" w:cs="宋体"/>
                <w:color w:val="000000"/>
                <w:sz w:val="21"/>
                <w:szCs w:val="21"/>
              </w:rPr>
              <w:t>所投产品品牌入围最近年度‘中国医疗设备行业数据及售后服务调查’三级甲等医院推荐品牌，排名最靠前的得标准分值，依次递减0.5分，最低得0分。（提供证明材料）</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6"/>
              <w:spacing w:line="360" w:lineRule="atLeast"/>
              <w:jc w:val="center"/>
              <w:rPr>
                <w:color w:val="000000"/>
              </w:rPr>
            </w:pPr>
          </w:p>
        </w:tc>
        <w:tc>
          <w:tcPr>
            <w:tcW w:w="1149" w:type="dxa"/>
            <w:vMerge w:val="continue"/>
            <w:noWrap w:val="0"/>
            <w:vAlign w:val="center"/>
          </w:tcPr>
          <w:p>
            <w:pPr>
              <w:pStyle w:val="156"/>
              <w:spacing w:line="360" w:lineRule="atLeast"/>
              <w:jc w:val="center"/>
              <w:rPr>
                <w:rFonts w:hint="eastAsia" w:ascii="宋体" w:hAnsi="宋体" w:cs="宋体"/>
                <w:color w:val="000000"/>
                <w:sz w:val="21"/>
                <w:szCs w:val="21"/>
              </w:rPr>
            </w:pPr>
          </w:p>
        </w:tc>
        <w:tc>
          <w:tcPr>
            <w:tcW w:w="5998" w:type="dxa"/>
            <w:gridSpan w:val="2"/>
            <w:noWrap w:val="0"/>
            <w:vAlign w:val="center"/>
          </w:tcPr>
          <w:p>
            <w:pPr>
              <w:spacing w:line="360" w:lineRule="atLeast"/>
              <w:ind w:left="0" w:leftChars="0" w:firstLine="0" w:firstLineChars="0"/>
              <w:rPr>
                <w:rFonts w:hint="eastAsia" w:ascii="宋体" w:hAnsi="宋体" w:cs="宋体"/>
                <w:color w:val="000000"/>
                <w:sz w:val="21"/>
                <w:szCs w:val="21"/>
              </w:rPr>
            </w:pPr>
            <w:r>
              <w:rPr>
                <w:rFonts w:hint="eastAsia"/>
                <w:color w:val="000000"/>
              </w:rPr>
              <w:t>6.所</w:t>
            </w:r>
            <w:r>
              <w:rPr>
                <w:rFonts w:hint="eastAsia"/>
                <w:color w:val="000000"/>
                <w:lang w:eastAsia="zh-CN"/>
              </w:rPr>
              <w:t>报</w:t>
            </w:r>
            <w:r>
              <w:rPr>
                <w:rFonts w:hint="eastAsia"/>
                <w:color w:val="000000"/>
              </w:rPr>
              <w:t>产品入围最近年度“中国医学装备协会发布优秀国产医疗设备产品目录”得1分，其他得0分。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noWrap/>
            <w:vAlign w:val="center"/>
          </w:tcPr>
          <w:p>
            <w:pPr>
              <w:pStyle w:val="156"/>
              <w:spacing w:line="360" w:lineRule="atLeast"/>
              <w:jc w:val="center"/>
              <w:rPr>
                <w:rFonts w:hint="eastAsia"/>
                <w:color w:val="000000"/>
              </w:rPr>
            </w:pPr>
            <w:r>
              <w:rPr>
                <w:rFonts w:hint="eastAsia"/>
                <w:color w:val="000000"/>
              </w:rPr>
              <w:t>二</w:t>
            </w:r>
          </w:p>
        </w:tc>
        <w:tc>
          <w:tcPr>
            <w:tcW w:w="1149" w:type="dxa"/>
            <w:noWrap w:val="0"/>
            <w:vAlign w:val="center"/>
          </w:tcPr>
          <w:p>
            <w:pPr>
              <w:pStyle w:val="156"/>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技术指标评分规则</w:t>
            </w:r>
          </w:p>
        </w:tc>
        <w:tc>
          <w:tcPr>
            <w:tcW w:w="5998" w:type="dxa"/>
            <w:gridSpan w:val="2"/>
            <w:noWrap w:val="0"/>
            <w:vAlign w:val="center"/>
          </w:tcPr>
          <w:p>
            <w:pPr>
              <w:spacing w:line="360" w:lineRule="atLeast"/>
              <w:ind w:firstLine="422"/>
              <w:rPr>
                <w:rFonts w:hint="eastAsia" w:ascii="宋体" w:hAnsi="宋体" w:cs="宋体"/>
                <w:b/>
                <w:bCs/>
                <w:color w:val="000000"/>
                <w:sz w:val="21"/>
                <w:szCs w:val="21"/>
              </w:rPr>
            </w:pPr>
            <w:r>
              <w:rPr>
                <w:rFonts w:hint="eastAsia" w:ascii="宋体" w:hAnsi="宋体" w:cs="宋体"/>
                <w:b/>
                <w:bCs/>
                <w:color w:val="000000"/>
                <w:sz w:val="21"/>
                <w:szCs w:val="21"/>
              </w:rPr>
              <w:t>（1）可量化排名指标评分规则</w:t>
            </w:r>
          </w:p>
          <w:p>
            <w:pPr>
              <w:spacing w:line="360" w:lineRule="atLeast"/>
              <w:ind w:firstLine="422"/>
              <w:rPr>
                <w:rFonts w:hint="eastAsia" w:ascii="宋体" w:hAnsi="宋体" w:cs="宋体"/>
                <w:color w:val="000000"/>
                <w:sz w:val="21"/>
                <w:szCs w:val="21"/>
              </w:rPr>
            </w:pPr>
            <w:r>
              <w:rPr>
                <w:rFonts w:hint="eastAsia" w:ascii="宋体" w:hAnsi="宋体" w:cs="宋体"/>
                <w:b/>
                <w:bCs/>
                <w:color w:val="000000"/>
                <w:sz w:val="21"/>
                <w:szCs w:val="21"/>
              </w:rPr>
              <w:t>①可以量化排名的</w:t>
            </w:r>
            <w:r>
              <w:rPr>
                <w:rFonts w:hint="eastAsia" w:ascii="宋体" w:hAnsi="宋体" w:cs="宋体"/>
                <w:b/>
                <w:bCs/>
                <w:color w:val="000000"/>
                <w:sz w:val="21"/>
                <w:szCs w:val="21"/>
                <w:u w:val="single"/>
              </w:rPr>
              <w:t>“★”条款</w:t>
            </w:r>
            <w:r>
              <w:rPr>
                <w:rFonts w:hint="eastAsia" w:ascii="宋体" w:hAnsi="宋体" w:cs="宋体"/>
                <w:b/>
                <w:bCs/>
                <w:color w:val="000000"/>
                <w:sz w:val="21"/>
                <w:szCs w:val="21"/>
              </w:rPr>
              <w:t>、</w:t>
            </w:r>
            <w:r>
              <w:rPr>
                <w:rFonts w:hint="eastAsia" w:ascii="宋体" w:hAnsi="宋体" w:cs="宋体"/>
                <w:b/>
                <w:bCs/>
                <w:color w:val="000000"/>
                <w:sz w:val="21"/>
                <w:szCs w:val="21"/>
                <w:u w:val="single"/>
              </w:rPr>
              <w:t>“▲”条款</w:t>
            </w:r>
            <w:r>
              <w:rPr>
                <w:rFonts w:hint="eastAsia" w:ascii="宋体" w:hAnsi="宋体" w:cs="宋体"/>
                <w:b/>
                <w:bCs/>
                <w:color w:val="000000"/>
                <w:sz w:val="21"/>
                <w:szCs w:val="21"/>
              </w:rPr>
              <w:t>和</w:t>
            </w:r>
            <w:r>
              <w:rPr>
                <w:rFonts w:hint="eastAsia" w:ascii="宋体" w:hAnsi="宋体" w:cs="宋体"/>
                <w:b/>
                <w:bCs/>
                <w:color w:val="000000"/>
                <w:sz w:val="21"/>
                <w:szCs w:val="21"/>
                <w:u w:val="single"/>
              </w:rPr>
              <w:t>“</w:t>
            </w:r>
            <w:r>
              <w:rPr>
                <w:rFonts w:hint="eastAsia" w:ascii="宋体" w:hAnsi="宋体" w:cs="宋体"/>
                <w:b/>
                <w:bCs/>
                <w:color w:val="000000"/>
                <w:sz w:val="21"/>
                <w:szCs w:val="21"/>
                <w:u w:val="single"/>
                <w:lang w:val="zh-CN"/>
              </w:rPr>
              <w:t>一般技术指标参数</w:t>
            </w:r>
            <w:r>
              <w:rPr>
                <w:rFonts w:hint="eastAsia" w:ascii="宋体" w:hAnsi="宋体" w:cs="宋体"/>
                <w:b/>
                <w:bCs/>
                <w:color w:val="000000"/>
                <w:sz w:val="21"/>
                <w:szCs w:val="21"/>
                <w:u w:val="single"/>
              </w:rPr>
              <w:t>”</w:t>
            </w:r>
            <w:r>
              <w:rPr>
                <w:rFonts w:hint="eastAsia" w:ascii="宋体" w:hAnsi="宋体" w:cs="宋体"/>
                <w:b/>
                <w:bCs/>
                <w:color w:val="000000"/>
                <w:sz w:val="21"/>
                <w:szCs w:val="21"/>
              </w:rPr>
              <w:t>的正偏离评分规则：</w:t>
            </w:r>
            <w:r>
              <w:rPr>
                <w:rFonts w:hint="eastAsia" w:ascii="宋体" w:hAnsi="宋体" w:cs="宋体"/>
                <w:color w:val="000000"/>
                <w:sz w:val="21"/>
                <w:szCs w:val="21"/>
              </w:rPr>
              <w:t>按偏离程度由高到低排名，排名第一得标准分值，排名第二按标准分值的25%递减得分，依此类推，</w:t>
            </w:r>
            <w:r>
              <w:rPr>
                <w:rFonts w:hint="eastAsia" w:ascii="宋体" w:hAnsi="宋体" w:cs="宋体"/>
                <w:color w:val="000000"/>
                <w:sz w:val="21"/>
                <w:szCs w:val="21"/>
                <w:u w:val="single"/>
              </w:rPr>
              <w:t>无偏离和排名第四名之后的正偏离为0分。</w:t>
            </w:r>
          </w:p>
          <w:p>
            <w:pPr>
              <w:spacing w:line="360" w:lineRule="atLeast"/>
              <w:ind w:firstLine="422"/>
              <w:rPr>
                <w:rFonts w:hint="eastAsia" w:ascii="宋体" w:hAnsi="宋体" w:cs="宋体"/>
                <w:color w:val="000000"/>
                <w:sz w:val="21"/>
                <w:szCs w:val="21"/>
              </w:rPr>
            </w:pPr>
            <w:r>
              <w:rPr>
                <w:rFonts w:hint="eastAsia" w:ascii="宋体" w:hAnsi="宋体" w:cs="宋体"/>
                <w:b/>
                <w:bCs/>
                <w:color w:val="000000"/>
                <w:sz w:val="21"/>
                <w:szCs w:val="21"/>
              </w:rPr>
              <w:t>注：</w:t>
            </w:r>
            <w:r>
              <w:rPr>
                <w:rFonts w:hint="eastAsia" w:ascii="宋体" w:hAnsi="宋体" w:cs="宋体"/>
                <w:color w:val="000000"/>
                <w:sz w:val="21"/>
                <w:szCs w:val="21"/>
              </w:rPr>
              <w:t>三分之二及以上技术专家认定正偏离对产品性能没有实质意义的指标值，可以不列入排名，得分一致，但须备注：正偏离无实质意义。</w:t>
            </w:r>
          </w:p>
          <w:p>
            <w:pPr>
              <w:spacing w:line="360" w:lineRule="atLeast"/>
              <w:ind w:firstLine="422"/>
              <w:rPr>
                <w:rFonts w:hint="eastAsia" w:ascii="宋体" w:hAnsi="宋体" w:cs="宋体"/>
                <w:b/>
                <w:bCs/>
                <w:color w:val="000000"/>
                <w:sz w:val="21"/>
                <w:szCs w:val="21"/>
              </w:rPr>
            </w:pPr>
            <w:r>
              <w:rPr>
                <w:rFonts w:hint="eastAsia" w:ascii="宋体" w:hAnsi="宋体" w:cs="宋体"/>
                <w:b/>
                <w:bCs/>
                <w:color w:val="000000"/>
                <w:sz w:val="21"/>
                <w:szCs w:val="21"/>
              </w:rPr>
              <w:t>②可以量化排名的</w:t>
            </w:r>
            <w:r>
              <w:rPr>
                <w:rFonts w:hint="eastAsia" w:ascii="宋体" w:hAnsi="宋体" w:cs="宋体"/>
                <w:b/>
                <w:bCs/>
                <w:color w:val="000000"/>
                <w:sz w:val="21"/>
                <w:szCs w:val="21"/>
                <w:u w:val="single"/>
              </w:rPr>
              <w:t>“▲”条款</w:t>
            </w:r>
            <w:r>
              <w:rPr>
                <w:rFonts w:hint="eastAsia" w:ascii="宋体" w:hAnsi="宋体" w:cs="宋体"/>
                <w:b/>
                <w:bCs/>
                <w:color w:val="000000"/>
                <w:sz w:val="21"/>
                <w:szCs w:val="21"/>
              </w:rPr>
              <w:t>和</w:t>
            </w:r>
            <w:r>
              <w:rPr>
                <w:rFonts w:hint="eastAsia" w:ascii="宋体" w:hAnsi="宋体" w:cs="宋体"/>
                <w:b/>
                <w:bCs/>
                <w:color w:val="000000"/>
                <w:sz w:val="21"/>
                <w:szCs w:val="21"/>
                <w:u w:val="single"/>
              </w:rPr>
              <w:t>“</w:t>
            </w:r>
            <w:r>
              <w:rPr>
                <w:rFonts w:hint="eastAsia" w:ascii="宋体" w:hAnsi="宋体" w:cs="宋体"/>
                <w:b/>
                <w:bCs/>
                <w:color w:val="000000"/>
                <w:sz w:val="21"/>
                <w:szCs w:val="21"/>
                <w:u w:val="single"/>
                <w:lang w:val="zh-CN"/>
              </w:rPr>
              <w:t>一般技术指标参数</w:t>
            </w:r>
            <w:r>
              <w:rPr>
                <w:rFonts w:hint="eastAsia" w:ascii="宋体" w:hAnsi="宋体" w:cs="宋体"/>
                <w:b/>
                <w:bCs/>
                <w:color w:val="000000"/>
                <w:sz w:val="21"/>
                <w:szCs w:val="21"/>
                <w:u w:val="single"/>
              </w:rPr>
              <w:t>”</w:t>
            </w:r>
            <w:r>
              <w:rPr>
                <w:rFonts w:hint="eastAsia" w:ascii="宋体" w:hAnsi="宋体" w:cs="宋体"/>
                <w:b/>
                <w:bCs/>
                <w:color w:val="000000"/>
                <w:sz w:val="21"/>
                <w:szCs w:val="21"/>
              </w:rPr>
              <w:t>负偏离评分规则：</w:t>
            </w:r>
            <w:r>
              <w:rPr>
                <w:rFonts w:hint="eastAsia" w:ascii="宋体" w:hAnsi="宋体" w:cs="宋体"/>
                <w:color w:val="000000"/>
                <w:sz w:val="21"/>
                <w:szCs w:val="21"/>
              </w:rPr>
              <w:t>按偏离程度由低到高排名。只有1家负偏离的，得分为相应指标负标准分值；有2家负偏离的，负偏离程度最大的得负标准分值，负偏离程度第二的得标准分值的负50%分；有3家负偏离的，负偏离程度最大得负标准分值，负偏离程度第二的得标准分值的负66%分，负偏离程度第三的得标准分值的负33%分；有4家及以上负偏离的，负偏离程度最大得负标准分值，负偏离程度第二的得标准分值的负75%分，负偏离程度第三的得标准分值的负50%分；负偏离程度第四的得标准分值的负25%分；其余负偏离的得0分。</w:t>
            </w:r>
          </w:p>
          <w:p>
            <w:pPr>
              <w:spacing w:line="360" w:lineRule="atLeast"/>
              <w:ind w:firstLine="422"/>
              <w:rPr>
                <w:rFonts w:hint="eastAsia" w:ascii="宋体" w:hAnsi="宋体" w:cs="宋体"/>
                <w:color w:val="000000"/>
                <w:sz w:val="21"/>
                <w:szCs w:val="21"/>
              </w:rPr>
            </w:pPr>
            <w:r>
              <w:rPr>
                <w:rFonts w:hint="eastAsia" w:ascii="宋体" w:hAnsi="宋体" w:cs="宋体"/>
                <w:b/>
                <w:bCs/>
                <w:color w:val="000000"/>
                <w:sz w:val="21"/>
                <w:szCs w:val="21"/>
              </w:rPr>
              <w:t>（2）不可量化排名指标评分规则：</w:t>
            </w:r>
            <w:r>
              <w:rPr>
                <w:rFonts w:hint="eastAsia" w:ascii="宋体" w:hAnsi="宋体" w:cs="宋体"/>
                <w:color w:val="000000"/>
                <w:sz w:val="21"/>
                <w:szCs w:val="21"/>
              </w:rPr>
              <w:t>适用于</w:t>
            </w:r>
            <w:r>
              <w:rPr>
                <w:rFonts w:hint="eastAsia" w:ascii="宋体" w:hAnsi="宋体" w:cs="宋体"/>
                <w:color w:val="000000"/>
                <w:sz w:val="21"/>
                <w:szCs w:val="21"/>
                <w:u w:val="single"/>
              </w:rPr>
              <w:t>“▲”条款</w:t>
            </w:r>
            <w:r>
              <w:rPr>
                <w:rFonts w:hint="eastAsia" w:ascii="宋体" w:hAnsi="宋体" w:cs="宋体"/>
                <w:color w:val="000000"/>
                <w:sz w:val="21"/>
                <w:szCs w:val="21"/>
              </w:rPr>
              <w:t>和</w:t>
            </w:r>
            <w:r>
              <w:rPr>
                <w:rFonts w:hint="eastAsia" w:ascii="宋体" w:hAnsi="宋体" w:cs="宋体"/>
                <w:color w:val="000000"/>
                <w:sz w:val="21"/>
                <w:szCs w:val="21"/>
                <w:u w:val="single"/>
              </w:rPr>
              <w:t>“</w:t>
            </w:r>
            <w:r>
              <w:rPr>
                <w:rFonts w:hint="eastAsia" w:ascii="宋体" w:hAnsi="宋体" w:cs="宋体"/>
                <w:color w:val="000000"/>
                <w:sz w:val="21"/>
                <w:szCs w:val="21"/>
                <w:u w:val="single"/>
                <w:lang w:val="zh-CN"/>
              </w:rPr>
              <w:t>一般技术指标参数</w:t>
            </w:r>
            <w:r>
              <w:rPr>
                <w:rFonts w:hint="eastAsia" w:ascii="宋体" w:hAnsi="宋体" w:cs="宋体"/>
                <w:color w:val="000000"/>
                <w:sz w:val="21"/>
                <w:szCs w:val="21"/>
                <w:u w:val="single"/>
              </w:rPr>
              <w:t>”</w:t>
            </w:r>
            <w:r>
              <w:rPr>
                <w:rFonts w:hint="eastAsia" w:ascii="宋体" w:hAnsi="宋体" w:cs="宋体"/>
                <w:color w:val="000000"/>
                <w:sz w:val="21"/>
                <w:szCs w:val="21"/>
              </w:rPr>
              <w:t>中不便量化排名的，满足要求的得标准分值，不满足的得0分。</w:t>
            </w:r>
          </w:p>
          <w:p>
            <w:pPr>
              <w:spacing w:line="360" w:lineRule="atLeast"/>
              <w:rPr>
                <w:rFonts w:hint="eastAsia" w:ascii="宋体" w:hAnsi="宋体" w:cs="宋体"/>
                <w:color w:val="000000"/>
                <w:sz w:val="21"/>
                <w:szCs w:val="21"/>
              </w:rPr>
            </w:pPr>
            <w:r>
              <w:rPr>
                <w:rFonts w:hint="eastAsia" w:ascii="宋体" w:hAnsi="宋体" w:cs="宋体"/>
                <w:color w:val="000000"/>
                <w:sz w:val="21"/>
                <w:szCs w:val="21"/>
                <w:u w:val="single"/>
              </w:rPr>
              <w:t>“★”条款</w:t>
            </w:r>
            <w:r>
              <w:rPr>
                <w:rFonts w:hint="eastAsia" w:ascii="宋体" w:hAnsi="宋体" w:cs="宋体"/>
                <w:color w:val="000000"/>
                <w:sz w:val="21"/>
                <w:szCs w:val="21"/>
              </w:rPr>
              <w:t>标准分值应当大于</w:t>
            </w:r>
            <w:r>
              <w:rPr>
                <w:rFonts w:hint="eastAsia" w:ascii="宋体" w:hAnsi="宋体" w:cs="宋体"/>
                <w:color w:val="000000"/>
                <w:sz w:val="21"/>
                <w:szCs w:val="21"/>
                <w:u w:val="single"/>
              </w:rPr>
              <w:t>“▲”条款</w:t>
            </w:r>
            <w:r>
              <w:rPr>
                <w:rFonts w:hint="eastAsia" w:ascii="宋体" w:hAnsi="宋体" w:cs="宋体"/>
                <w:color w:val="000000"/>
                <w:sz w:val="21"/>
                <w:szCs w:val="21"/>
              </w:rPr>
              <w:t>标准分值，</w:t>
            </w:r>
            <w:r>
              <w:rPr>
                <w:rFonts w:hint="eastAsia" w:ascii="宋体" w:hAnsi="宋体" w:cs="宋体"/>
                <w:color w:val="000000"/>
                <w:sz w:val="21"/>
                <w:szCs w:val="21"/>
                <w:u w:val="single"/>
              </w:rPr>
              <w:t>“▲”条款</w:t>
            </w:r>
            <w:r>
              <w:rPr>
                <w:rFonts w:hint="eastAsia" w:ascii="宋体" w:hAnsi="宋体" w:cs="宋体"/>
                <w:color w:val="000000"/>
                <w:sz w:val="21"/>
                <w:szCs w:val="21"/>
              </w:rPr>
              <w:t>标准分值应当大于</w:t>
            </w:r>
            <w:r>
              <w:rPr>
                <w:rFonts w:hint="eastAsia" w:ascii="宋体" w:hAnsi="宋体" w:cs="宋体"/>
                <w:color w:val="000000"/>
                <w:sz w:val="21"/>
                <w:szCs w:val="21"/>
                <w:u w:val="single"/>
              </w:rPr>
              <w:t>“</w:t>
            </w:r>
            <w:r>
              <w:rPr>
                <w:rFonts w:hint="eastAsia" w:ascii="宋体" w:hAnsi="宋体" w:cs="宋体"/>
                <w:color w:val="000000"/>
                <w:sz w:val="21"/>
                <w:szCs w:val="21"/>
                <w:u w:val="single"/>
                <w:lang w:val="zh-CN"/>
              </w:rPr>
              <w:t>一般技术指标参数</w:t>
            </w:r>
            <w:r>
              <w:rPr>
                <w:rFonts w:hint="eastAsia" w:ascii="宋体" w:hAnsi="宋体" w:cs="宋体"/>
                <w:color w:val="000000"/>
                <w:sz w:val="21"/>
                <w:szCs w:val="21"/>
                <w:u w:val="single"/>
              </w:rPr>
              <w:t>”</w:t>
            </w:r>
            <w:r>
              <w:rPr>
                <w:rFonts w:hint="eastAsia" w:ascii="宋体" w:hAnsi="宋体" w:cs="宋体"/>
                <w:color w:val="000000"/>
                <w:sz w:val="21"/>
                <w:szCs w:val="21"/>
              </w:rPr>
              <w:t>标准分值。</w:t>
            </w:r>
          </w:p>
          <w:p>
            <w:pPr>
              <w:spacing w:line="360" w:lineRule="atLeast"/>
              <w:ind w:firstLine="422"/>
              <w:rPr>
                <w:rFonts w:hint="eastAsia" w:ascii="宋体" w:hAnsi="宋体" w:cs="宋体"/>
                <w:color w:val="000000"/>
                <w:sz w:val="21"/>
                <w:szCs w:val="21"/>
              </w:rPr>
            </w:pPr>
            <w:r>
              <w:rPr>
                <w:rFonts w:hint="eastAsia" w:ascii="宋体" w:hAnsi="宋体" w:cs="宋体"/>
                <w:color w:val="000000"/>
                <w:sz w:val="21"/>
                <w:szCs w:val="21"/>
              </w:rPr>
              <w:t>（3）负偏离合计超过4项（含），“产品技术性能指标参数满足偏离情况”总得分为0分。</w:t>
            </w:r>
          </w:p>
          <w:p>
            <w:pPr>
              <w:spacing w:line="360" w:lineRule="atLeast"/>
              <w:ind w:firstLine="422"/>
              <w:rPr>
                <w:rFonts w:hint="eastAsia" w:ascii="宋体" w:hAnsi="宋体" w:cs="宋体"/>
                <w:b/>
                <w:bCs/>
                <w:color w:val="000000"/>
                <w:sz w:val="21"/>
                <w:szCs w:val="21"/>
              </w:rPr>
            </w:pPr>
            <w:r>
              <w:rPr>
                <w:rFonts w:hint="eastAsia" w:ascii="宋体" w:hAnsi="宋体" w:cs="宋体"/>
                <w:b/>
                <w:bCs/>
                <w:color w:val="000000"/>
                <w:sz w:val="21"/>
                <w:szCs w:val="21"/>
              </w:rPr>
              <w:t>说明：若技术指标存在范围或数值，评审时应考虑</w:t>
            </w:r>
            <w:r>
              <w:rPr>
                <w:rFonts w:hint="eastAsia" w:ascii="宋体" w:hAnsi="宋体" w:cs="宋体"/>
                <w:b/>
                <w:bCs/>
                <w:color w:val="000000"/>
                <w:sz w:val="21"/>
                <w:szCs w:val="21"/>
                <w:lang w:eastAsia="zh-CN"/>
              </w:rPr>
              <w:t>报价</w:t>
            </w:r>
            <w:r>
              <w:rPr>
                <w:rFonts w:hint="eastAsia" w:ascii="宋体" w:hAnsi="宋体" w:cs="宋体"/>
                <w:b/>
                <w:bCs/>
                <w:color w:val="000000"/>
                <w:sz w:val="21"/>
                <w:szCs w:val="21"/>
              </w:rPr>
              <w:t>人响应指标的优劣进行量化排名，按可量化排名指标进行评审。</w:t>
            </w:r>
            <w:r>
              <w:rPr>
                <w:rFonts w:hint="eastAsia" w:ascii="宋体" w:hAnsi="宋体" w:cs="宋体"/>
                <w:sz w:val="21"/>
                <w:szCs w:val="21"/>
              </w:rPr>
              <w:t>【本项评审正偏离认定时以</w:t>
            </w:r>
            <w:r>
              <w:rPr>
                <w:rFonts w:hint="eastAsia" w:ascii="宋体" w:hAnsi="宋体" w:cs="宋体"/>
                <w:sz w:val="21"/>
                <w:szCs w:val="21"/>
                <w:lang w:eastAsia="zh-CN"/>
              </w:rPr>
              <w:t>报价</w:t>
            </w:r>
            <w:r>
              <w:rPr>
                <w:rFonts w:hint="eastAsia" w:ascii="宋体" w:hAnsi="宋体" w:cs="宋体"/>
                <w:sz w:val="21"/>
                <w:szCs w:val="21"/>
              </w:rPr>
              <w:t>人提供的完整的技术支持资料（包括制造商公开发布的印刷资料（含制造商出具的产品规格表等）或第三方检测机构出具的检测报告或医疗器械注册（备案凭证）证）为依据，没有依据的不得判定技术指标正偏离】</w:t>
            </w:r>
          </w:p>
        </w:tc>
        <w:tc>
          <w:tcPr>
            <w:tcW w:w="1389" w:type="dxa"/>
            <w:noWrap/>
            <w:vAlign w:val="center"/>
          </w:tcPr>
          <w:p>
            <w:pPr>
              <w:pStyle w:val="156"/>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本大项标准分值合计</w:t>
            </w:r>
            <w:r>
              <w:rPr>
                <w:rFonts w:hint="eastAsia" w:ascii="宋体" w:hAnsi="宋体" w:cs="宋体"/>
                <w:color w:val="000000"/>
                <w:sz w:val="21"/>
                <w:szCs w:val="21"/>
                <w:u w:val="single"/>
              </w:rPr>
              <w:t xml:space="preserve"> 43 </w:t>
            </w:r>
            <w:r>
              <w:rPr>
                <w:rFonts w:hint="eastAsia" w:ascii="宋体" w:hAnsi="宋体" w:cs="宋体"/>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restart"/>
            <w:noWrap/>
            <w:vAlign w:val="center"/>
          </w:tcPr>
          <w:p>
            <w:pPr>
              <w:pStyle w:val="156"/>
              <w:spacing w:line="360" w:lineRule="atLeast"/>
              <w:jc w:val="center"/>
              <w:rPr>
                <w:rFonts w:hint="eastAsia"/>
                <w:color w:val="000000"/>
              </w:rPr>
            </w:pPr>
          </w:p>
        </w:tc>
        <w:tc>
          <w:tcPr>
            <w:tcW w:w="1149" w:type="dxa"/>
            <w:vMerge w:val="restart"/>
            <w:noWrap w:val="0"/>
            <w:vAlign w:val="center"/>
          </w:tcPr>
          <w:p>
            <w:pPr>
              <w:pStyle w:val="156"/>
              <w:spacing w:line="360" w:lineRule="atLeast"/>
              <w:jc w:val="center"/>
              <w:rPr>
                <w:rFonts w:hint="eastAsia" w:ascii="宋体" w:hAnsi="宋体" w:cs="宋体"/>
                <w:color w:val="000000"/>
                <w:sz w:val="21"/>
                <w:szCs w:val="21"/>
              </w:rPr>
            </w:pPr>
            <w:r>
              <w:rPr>
                <w:rFonts w:hint="eastAsia" w:ascii="宋体" w:hAnsi="宋体" w:cs="宋体"/>
                <w:b/>
                <w:bCs/>
                <w:color w:val="000000"/>
                <w:sz w:val="21"/>
                <w:szCs w:val="21"/>
              </w:rPr>
              <w:t>产品技术性能指标参数满足偏离情况</w:t>
            </w:r>
          </w:p>
        </w:tc>
        <w:tc>
          <w:tcPr>
            <w:tcW w:w="4033" w:type="dxa"/>
            <w:noWrap w:val="0"/>
            <w:vAlign w:val="center"/>
          </w:tcPr>
          <w:p>
            <w:pPr>
              <w:spacing w:line="360" w:lineRule="atLeast"/>
              <w:rPr>
                <w:rFonts w:hint="eastAsia" w:ascii="宋体" w:hAnsi="宋体" w:eastAsia="宋体" w:cs="华文中宋"/>
                <w:b/>
                <w:bCs/>
                <w:sz w:val="24"/>
                <w:szCs w:val="21"/>
                <w:lang w:val="zh-CN"/>
              </w:rPr>
            </w:pPr>
            <w:r>
              <w:rPr>
                <w:rFonts w:hint="eastAsia" w:ascii="宋体" w:hAnsi="宋体" w:eastAsia="宋体" w:cs="华文中宋"/>
                <w:b/>
                <w:bCs/>
                <w:sz w:val="24"/>
                <w:szCs w:val="21"/>
                <w:lang w:val="zh-CN"/>
              </w:rPr>
              <w:t>技术参数</w:t>
            </w:r>
          </w:p>
        </w:tc>
        <w:tc>
          <w:tcPr>
            <w:tcW w:w="1965" w:type="dxa"/>
            <w:noWrap w:val="0"/>
            <w:vAlign w:val="center"/>
          </w:tcPr>
          <w:p>
            <w:pPr>
              <w:spacing w:line="360" w:lineRule="atLeast"/>
              <w:rPr>
                <w:rFonts w:hint="eastAsia" w:ascii="宋体" w:hAnsi="宋体" w:cs="宋体"/>
                <w:sz w:val="21"/>
                <w:szCs w:val="21"/>
              </w:rPr>
            </w:pPr>
            <w:r>
              <w:rPr>
                <w:rFonts w:hint="eastAsia" w:ascii="宋体" w:hAnsi="宋体" w:cs="华文中宋"/>
                <w:b/>
                <w:bCs/>
                <w:szCs w:val="21"/>
                <w:lang w:val="zh-CN"/>
              </w:rPr>
              <w:t>可量化指标正偏离认定情况</w:t>
            </w:r>
          </w:p>
        </w:tc>
        <w:tc>
          <w:tcPr>
            <w:tcW w:w="1389" w:type="dxa"/>
            <w:noWrap/>
            <w:vAlign w:val="center"/>
          </w:tcPr>
          <w:p>
            <w:pPr>
              <w:pStyle w:val="156"/>
              <w:spacing w:line="360" w:lineRule="atLeast"/>
              <w:jc w:val="center"/>
              <w:rPr>
                <w:rFonts w:hint="eastAsia"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6"/>
              <w:spacing w:line="360" w:lineRule="atLeast"/>
              <w:jc w:val="center"/>
              <w:rPr>
                <w:rFonts w:hint="eastAsia"/>
                <w:color w:val="000000"/>
              </w:rPr>
            </w:pPr>
          </w:p>
        </w:tc>
        <w:tc>
          <w:tcPr>
            <w:tcW w:w="1149" w:type="dxa"/>
            <w:vMerge w:val="continue"/>
            <w:noWrap w:val="0"/>
            <w:vAlign w:val="center"/>
          </w:tcPr>
          <w:p>
            <w:pPr>
              <w:pStyle w:val="156"/>
              <w:spacing w:line="360" w:lineRule="atLeast"/>
              <w:jc w:val="center"/>
              <w:rPr>
                <w:rFonts w:hint="eastAsia" w:ascii="宋体" w:hAnsi="宋体" w:cs="宋体"/>
                <w:color w:val="000000"/>
                <w:sz w:val="21"/>
                <w:szCs w:val="21"/>
              </w:rPr>
            </w:pPr>
          </w:p>
        </w:tc>
        <w:tc>
          <w:tcPr>
            <w:tcW w:w="4033" w:type="dxa"/>
            <w:noWrap w:val="0"/>
            <w:vAlign w:val="center"/>
          </w:tcPr>
          <w:p>
            <w:pPr>
              <w:widowControl/>
              <w:jc w:val="left"/>
              <w:rPr>
                <w:rFonts w:hint="eastAsia" w:eastAsia="宋体" w:cs="Arial" w:asciiTheme="minorEastAsia" w:hAnsiTheme="minorEastAsia"/>
                <w:kern w:val="0"/>
                <w:sz w:val="21"/>
                <w:szCs w:val="21"/>
                <w:lang w:val="en-US" w:eastAsia="zh-CN" w:bidi="zh-CN"/>
              </w:rPr>
            </w:pPr>
            <w:r>
              <w:rPr>
                <w:rFonts w:hint="eastAsia" w:cs="Arial" w:asciiTheme="minorEastAsia" w:hAnsiTheme="minorEastAsia"/>
                <w:kern w:val="0"/>
                <w:szCs w:val="21"/>
                <w:lang w:bidi="zh-CN"/>
              </w:rPr>
              <w:t>★1.1三钉式头部固定系统，通过双钉侧施压或头夹采用单钉侧加压方式，压力平均分配在三颗头钉</w:t>
            </w:r>
          </w:p>
        </w:tc>
        <w:tc>
          <w:tcPr>
            <w:tcW w:w="1965" w:type="dxa"/>
            <w:noWrap w:val="0"/>
            <w:vAlign w:val="center"/>
          </w:tcPr>
          <w:p>
            <w:pPr>
              <w:spacing w:line="360" w:lineRule="atLeast"/>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w:t>
            </w:r>
          </w:p>
        </w:tc>
        <w:tc>
          <w:tcPr>
            <w:tcW w:w="1389" w:type="dxa"/>
            <w:noWrap/>
            <w:vAlign w:val="center"/>
          </w:tcPr>
          <w:p>
            <w:pPr>
              <w:pStyle w:val="156"/>
              <w:spacing w:line="36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6"/>
              <w:spacing w:line="360" w:lineRule="atLeast"/>
              <w:jc w:val="center"/>
              <w:rPr>
                <w:rFonts w:hint="eastAsia"/>
                <w:color w:val="000000"/>
              </w:rPr>
            </w:pPr>
          </w:p>
        </w:tc>
        <w:tc>
          <w:tcPr>
            <w:tcW w:w="1149" w:type="dxa"/>
            <w:vMerge w:val="continue"/>
            <w:noWrap w:val="0"/>
            <w:vAlign w:val="center"/>
          </w:tcPr>
          <w:p>
            <w:pPr>
              <w:pStyle w:val="156"/>
              <w:spacing w:line="360" w:lineRule="atLeast"/>
              <w:jc w:val="center"/>
              <w:rPr>
                <w:rFonts w:hint="eastAsia" w:ascii="宋体" w:hAnsi="宋体" w:cs="宋体"/>
                <w:color w:val="000000"/>
                <w:sz w:val="21"/>
                <w:szCs w:val="21"/>
              </w:rPr>
            </w:pPr>
          </w:p>
        </w:tc>
        <w:tc>
          <w:tcPr>
            <w:tcW w:w="4033" w:type="dxa"/>
            <w:noWrap w:val="0"/>
            <w:vAlign w:val="center"/>
          </w:tcPr>
          <w:p>
            <w:pPr>
              <w:widowControl/>
              <w:jc w:val="left"/>
              <w:rPr>
                <w:rFonts w:hint="eastAsia" w:eastAsia="宋体" w:cs="Arial" w:asciiTheme="minorEastAsia" w:hAnsiTheme="minorEastAsia"/>
                <w:kern w:val="0"/>
                <w:sz w:val="21"/>
                <w:szCs w:val="21"/>
                <w:lang w:val="en-US" w:eastAsia="zh-CN" w:bidi="zh-CN"/>
              </w:rPr>
            </w:pPr>
            <w:r>
              <w:rPr>
                <w:rFonts w:hint="eastAsia" w:cs="Arial" w:asciiTheme="minorEastAsia" w:hAnsiTheme="minorEastAsia"/>
                <w:kern w:val="0"/>
                <w:szCs w:val="21"/>
                <w:lang w:bidi="zh-CN"/>
              </w:rPr>
              <w:t>1.2头夹可与立体定向或导航系统配套使用</w:t>
            </w:r>
          </w:p>
        </w:tc>
        <w:tc>
          <w:tcPr>
            <w:tcW w:w="1965" w:type="dxa"/>
            <w:noWrap w:val="0"/>
            <w:vAlign w:val="center"/>
          </w:tcPr>
          <w:p>
            <w:pPr>
              <w:spacing w:line="360" w:lineRule="atLeast"/>
              <w:jc w:val="center"/>
              <w:rPr>
                <w:rFonts w:hint="eastAsia" w:ascii="宋体" w:hAnsi="宋体" w:cs="宋体"/>
                <w:sz w:val="21"/>
                <w:szCs w:val="21"/>
              </w:rPr>
            </w:pPr>
            <w:r>
              <w:rPr>
                <w:rFonts w:hint="eastAsia" w:ascii="宋体" w:hAnsi="宋体" w:cs="宋体"/>
                <w:sz w:val="21"/>
                <w:szCs w:val="21"/>
                <w:lang w:val="en-US" w:eastAsia="zh-CN"/>
              </w:rPr>
              <w:t>/</w:t>
            </w:r>
          </w:p>
        </w:tc>
        <w:tc>
          <w:tcPr>
            <w:tcW w:w="1389" w:type="dxa"/>
            <w:noWrap/>
            <w:vAlign w:val="center"/>
          </w:tcPr>
          <w:p>
            <w:pPr>
              <w:pStyle w:val="156"/>
              <w:spacing w:line="36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6"/>
              <w:spacing w:line="360" w:lineRule="atLeast"/>
              <w:jc w:val="center"/>
              <w:rPr>
                <w:rFonts w:hint="eastAsia"/>
                <w:color w:val="000000"/>
              </w:rPr>
            </w:pPr>
          </w:p>
        </w:tc>
        <w:tc>
          <w:tcPr>
            <w:tcW w:w="1149" w:type="dxa"/>
            <w:vMerge w:val="continue"/>
            <w:noWrap w:val="0"/>
            <w:vAlign w:val="center"/>
          </w:tcPr>
          <w:p>
            <w:pPr>
              <w:pStyle w:val="156"/>
              <w:spacing w:line="360" w:lineRule="atLeast"/>
              <w:jc w:val="center"/>
              <w:rPr>
                <w:rFonts w:hint="eastAsia" w:ascii="宋体" w:hAnsi="宋体" w:cs="宋体"/>
                <w:color w:val="000000"/>
                <w:sz w:val="21"/>
                <w:szCs w:val="21"/>
              </w:rPr>
            </w:pPr>
          </w:p>
        </w:tc>
        <w:tc>
          <w:tcPr>
            <w:tcW w:w="4033" w:type="dxa"/>
            <w:noWrap w:val="0"/>
            <w:vAlign w:val="center"/>
          </w:tcPr>
          <w:p>
            <w:pPr>
              <w:widowControl/>
              <w:jc w:val="left"/>
              <w:rPr>
                <w:rFonts w:hint="eastAsia" w:eastAsia="宋体" w:cs="Arial" w:asciiTheme="minorEastAsia" w:hAnsiTheme="minorEastAsia"/>
                <w:kern w:val="0"/>
                <w:sz w:val="21"/>
                <w:szCs w:val="21"/>
                <w:lang w:val="en-US" w:eastAsia="zh-CN" w:bidi="zh-CN"/>
              </w:rPr>
            </w:pPr>
            <w:r>
              <w:rPr>
                <w:rFonts w:hint="eastAsia" w:cs="Arial" w:asciiTheme="minorEastAsia" w:hAnsiTheme="minorEastAsia"/>
                <w:kern w:val="0"/>
                <w:szCs w:val="21"/>
                <w:lang w:bidi="zh-CN"/>
              </w:rPr>
              <w:t>1.3头架双钉侧</w:t>
            </w:r>
            <w:r>
              <w:rPr>
                <w:rFonts w:cs="Arial" w:asciiTheme="minorEastAsia" w:hAnsiTheme="minorEastAsia"/>
                <w:kern w:val="0"/>
                <w:szCs w:val="21"/>
                <w:lang w:bidi="zh-CN"/>
              </w:rPr>
              <w:t>遥杆臂可</w:t>
            </w:r>
            <w:r>
              <w:rPr>
                <w:rFonts w:hint="eastAsia" w:cs="Arial" w:asciiTheme="minorEastAsia" w:hAnsiTheme="minorEastAsia"/>
                <w:kern w:val="0"/>
                <w:szCs w:val="21"/>
                <w:lang w:bidi="zh-CN"/>
              </w:rPr>
              <w:t>360°</w:t>
            </w:r>
            <w:r>
              <w:rPr>
                <w:rFonts w:cs="Arial" w:asciiTheme="minorEastAsia" w:hAnsiTheme="minorEastAsia"/>
                <w:kern w:val="0"/>
                <w:szCs w:val="21"/>
                <w:lang w:bidi="zh-CN"/>
              </w:rPr>
              <w:t>旋转，并具有快速固定装置</w:t>
            </w:r>
          </w:p>
        </w:tc>
        <w:tc>
          <w:tcPr>
            <w:tcW w:w="1965" w:type="dxa"/>
            <w:noWrap w:val="0"/>
            <w:vAlign w:val="center"/>
          </w:tcPr>
          <w:p>
            <w:pPr>
              <w:spacing w:line="360" w:lineRule="atLeast"/>
              <w:jc w:val="center"/>
              <w:rPr>
                <w:rFonts w:hint="eastAsia" w:ascii="宋体" w:hAnsi="宋体" w:cs="宋体"/>
                <w:sz w:val="21"/>
                <w:szCs w:val="21"/>
              </w:rPr>
            </w:pPr>
            <w:r>
              <w:rPr>
                <w:rFonts w:hint="eastAsia" w:ascii="宋体" w:hAnsi="宋体" w:cs="宋体"/>
                <w:sz w:val="21"/>
                <w:szCs w:val="21"/>
                <w:lang w:val="en-US" w:eastAsia="zh-CN"/>
              </w:rPr>
              <w:t>/</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lang w:val="en-US" w:eastAsia="zh-CN"/>
              </w:rPr>
              <w:t>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6"/>
              <w:spacing w:line="360" w:lineRule="atLeast"/>
              <w:jc w:val="center"/>
              <w:rPr>
                <w:rFonts w:hint="eastAsia"/>
                <w:color w:val="000000"/>
              </w:rPr>
            </w:pPr>
          </w:p>
        </w:tc>
        <w:tc>
          <w:tcPr>
            <w:tcW w:w="1149" w:type="dxa"/>
            <w:vMerge w:val="continue"/>
            <w:noWrap w:val="0"/>
            <w:vAlign w:val="center"/>
          </w:tcPr>
          <w:p>
            <w:pPr>
              <w:pStyle w:val="156"/>
              <w:spacing w:line="360" w:lineRule="atLeast"/>
              <w:jc w:val="center"/>
              <w:rPr>
                <w:rFonts w:hint="eastAsia" w:ascii="宋体" w:hAnsi="宋体" w:cs="宋体"/>
                <w:color w:val="000000"/>
                <w:sz w:val="21"/>
                <w:szCs w:val="21"/>
              </w:rPr>
            </w:pPr>
          </w:p>
        </w:tc>
        <w:tc>
          <w:tcPr>
            <w:tcW w:w="4033" w:type="dxa"/>
            <w:noWrap w:val="0"/>
            <w:vAlign w:val="center"/>
          </w:tcPr>
          <w:p>
            <w:pPr>
              <w:widowControl/>
              <w:jc w:val="left"/>
              <w:rPr>
                <w:rFonts w:hint="eastAsia" w:eastAsia="宋体" w:cs="Arial" w:asciiTheme="minorEastAsia" w:hAnsiTheme="minorEastAsia"/>
                <w:kern w:val="0"/>
                <w:sz w:val="21"/>
                <w:szCs w:val="21"/>
                <w:lang w:val="en-US" w:eastAsia="zh-CN" w:bidi="zh-CN"/>
              </w:rPr>
            </w:pPr>
            <w:r>
              <w:rPr>
                <w:rFonts w:hint="eastAsia" w:cs="Arial" w:asciiTheme="minorEastAsia" w:hAnsiTheme="minorEastAsia"/>
                <w:kern w:val="0"/>
                <w:szCs w:val="21"/>
                <w:lang w:bidi="zh-CN"/>
              </w:rPr>
              <w:t>2.1球型阻尼轴连接，阻尼球型头镜面纳米工艺制造，表面光滑，非粗制磨砂面</w:t>
            </w:r>
          </w:p>
        </w:tc>
        <w:tc>
          <w:tcPr>
            <w:tcW w:w="1965" w:type="dxa"/>
            <w:noWrap w:val="0"/>
            <w:vAlign w:val="center"/>
          </w:tcPr>
          <w:p>
            <w:pPr>
              <w:spacing w:line="360" w:lineRule="atLeast"/>
              <w:jc w:val="center"/>
              <w:rPr>
                <w:rFonts w:hint="eastAsia" w:ascii="宋体" w:hAnsi="宋体" w:cs="宋体"/>
                <w:sz w:val="21"/>
                <w:szCs w:val="21"/>
              </w:rPr>
            </w:pPr>
            <w:r>
              <w:rPr>
                <w:rFonts w:hint="eastAsia" w:ascii="宋体" w:hAnsi="宋体" w:cs="宋体"/>
                <w:sz w:val="21"/>
                <w:szCs w:val="21"/>
                <w:lang w:val="en-US" w:eastAsia="zh-CN"/>
              </w:rPr>
              <w:t>/</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lang w:val="en-US" w:eastAsia="zh-CN"/>
              </w:rPr>
              <w:t>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6"/>
              <w:spacing w:line="360" w:lineRule="atLeast"/>
              <w:jc w:val="center"/>
              <w:rPr>
                <w:rFonts w:hint="eastAsia"/>
                <w:color w:val="000000"/>
              </w:rPr>
            </w:pPr>
          </w:p>
        </w:tc>
        <w:tc>
          <w:tcPr>
            <w:tcW w:w="1149" w:type="dxa"/>
            <w:vMerge w:val="continue"/>
            <w:noWrap w:val="0"/>
            <w:vAlign w:val="center"/>
          </w:tcPr>
          <w:p>
            <w:pPr>
              <w:pStyle w:val="156"/>
              <w:spacing w:line="360" w:lineRule="atLeast"/>
              <w:jc w:val="center"/>
              <w:rPr>
                <w:rFonts w:hint="eastAsia" w:ascii="宋体" w:hAnsi="宋体" w:cs="宋体"/>
                <w:color w:val="000000"/>
                <w:sz w:val="21"/>
                <w:szCs w:val="21"/>
              </w:rPr>
            </w:pPr>
          </w:p>
        </w:tc>
        <w:tc>
          <w:tcPr>
            <w:tcW w:w="4033" w:type="dxa"/>
            <w:noWrap w:val="0"/>
            <w:vAlign w:val="center"/>
          </w:tcPr>
          <w:p>
            <w:pPr>
              <w:widowControl/>
              <w:jc w:val="left"/>
              <w:rPr>
                <w:rFonts w:hint="eastAsia" w:eastAsia="宋体" w:cs="Arial" w:asciiTheme="minorEastAsia" w:hAnsiTheme="minorEastAsia"/>
                <w:kern w:val="0"/>
                <w:sz w:val="21"/>
                <w:szCs w:val="21"/>
                <w:lang w:val="en-US" w:eastAsia="zh-CN" w:bidi="zh-CN"/>
              </w:rPr>
            </w:pPr>
            <w:r>
              <w:rPr>
                <w:rFonts w:hint="eastAsia" w:cs="Arial" w:asciiTheme="minorEastAsia" w:hAnsiTheme="minorEastAsia"/>
                <w:kern w:val="0"/>
                <w:szCs w:val="21"/>
                <w:lang w:bidi="zh-CN"/>
              </w:rPr>
              <w:t>2.2可360°侧旋转，120°扇形旋转，90°侧卧位固定，内置弹簧卡锁，接口为耐磨的不绣钢螺纹</w:t>
            </w:r>
          </w:p>
        </w:tc>
        <w:tc>
          <w:tcPr>
            <w:tcW w:w="1965" w:type="dxa"/>
            <w:noWrap w:val="0"/>
            <w:vAlign w:val="center"/>
          </w:tcPr>
          <w:p>
            <w:pPr>
              <w:spacing w:line="360" w:lineRule="atLeast"/>
              <w:jc w:val="center"/>
              <w:rPr>
                <w:rFonts w:hint="eastAsia" w:ascii="宋体" w:hAnsi="宋体" w:cs="宋体"/>
                <w:sz w:val="21"/>
                <w:szCs w:val="21"/>
              </w:rPr>
            </w:pPr>
            <w:r>
              <w:rPr>
                <w:rFonts w:hint="eastAsia" w:ascii="宋体" w:hAnsi="宋体" w:cs="宋体"/>
                <w:sz w:val="21"/>
                <w:szCs w:val="21"/>
                <w:lang w:val="en-US" w:eastAsia="zh-CN"/>
              </w:rPr>
              <w:t>/</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lang w:val="en-US" w:eastAsia="zh-CN"/>
              </w:rPr>
              <w:t>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6"/>
              <w:spacing w:line="360" w:lineRule="atLeast"/>
              <w:jc w:val="center"/>
              <w:rPr>
                <w:rFonts w:hint="eastAsia"/>
                <w:color w:val="000000"/>
              </w:rPr>
            </w:pPr>
          </w:p>
        </w:tc>
        <w:tc>
          <w:tcPr>
            <w:tcW w:w="1149" w:type="dxa"/>
            <w:vMerge w:val="continue"/>
            <w:noWrap w:val="0"/>
            <w:vAlign w:val="center"/>
          </w:tcPr>
          <w:p>
            <w:pPr>
              <w:pStyle w:val="156"/>
              <w:spacing w:line="360" w:lineRule="atLeast"/>
              <w:jc w:val="center"/>
              <w:rPr>
                <w:rFonts w:hint="eastAsia" w:ascii="宋体" w:hAnsi="宋体" w:cs="宋体"/>
                <w:color w:val="000000"/>
                <w:sz w:val="21"/>
                <w:szCs w:val="21"/>
              </w:rPr>
            </w:pPr>
          </w:p>
        </w:tc>
        <w:tc>
          <w:tcPr>
            <w:tcW w:w="4033" w:type="dxa"/>
            <w:noWrap w:val="0"/>
            <w:vAlign w:val="center"/>
          </w:tcPr>
          <w:p>
            <w:pPr>
              <w:widowControl/>
              <w:jc w:val="left"/>
              <w:rPr>
                <w:rFonts w:hint="eastAsia" w:eastAsia="宋体" w:cs="Arial" w:asciiTheme="minorEastAsia" w:hAnsiTheme="minorEastAsia"/>
                <w:kern w:val="0"/>
                <w:sz w:val="21"/>
                <w:szCs w:val="21"/>
                <w:lang w:val="en-US" w:eastAsia="zh-CN" w:bidi="zh-CN"/>
              </w:rPr>
            </w:pPr>
            <w:r>
              <w:rPr>
                <w:rFonts w:hint="eastAsia" w:cs="Arial" w:asciiTheme="minorEastAsia" w:hAnsiTheme="minorEastAsia"/>
                <w:kern w:val="0"/>
                <w:szCs w:val="21"/>
                <w:lang w:bidi="zh-CN"/>
              </w:rPr>
              <w:t>▲2.3</w:t>
            </w:r>
            <w:r>
              <w:rPr>
                <w:rFonts w:cs="Arial" w:asciiTheme="minorEastAsia" w:hAnsiTheme="minorEastAsia"/>
                <w:kern w:val="0"/>
                <w:szCs w:val="21"/>
                <w:lang w:bidi="zh-CN"/>
              </w:rPr>
              <w:t>提供</w:t>
            </w:r>
            <w:r>
              <w:rPr>
                <w:rFonts w:hint="eastAsia" w:cs="Arial" w:asciiTheme="minorEastAsia" w:hAnsiTheme="minorEastAsia"/>
                <w:kern w:val="0"/>
                <w:szCs w:val="21"/>
                <w:lang w:bidi="zh-CN"/>
              </w:rPr>
              <w:t>≥3</w:t>
            </w:r>
            <w:r>
              <w:rPr>
                <w:rFonts w:cs="Arial" w:asciiTheme="minorEastAsia" w:hAnsiTheme="minorEastAsia"/>
                <w:kern w:val="0"/>
                <w:szCs w:val="21"/>
                <w:lang w:bidi="zh-CN"/>
              </w:rPr>
              <w:t>种连接器</w:t>
            </w:r>
            <w:r>
              <w:rPr>
                <w:rFonts w:hint="eastAsia" w:cs="Arial" w:asciiTheme="minorEastAsia" w:hAnsiTheme="minorEastAsia"/>
                <w:kern w:val="0"/>
                <w:szCs w:val="21"/>
                <w:lang w:bidi="zh-CN"/>
              </w:rPr>
              <w:t>（万向轴）</w:t>
            </w:r>
            <w:r>
              <w:rPr>
                <w:rFonts w:cs="Arial" w:asciiTheme="minorEastAsia" w:hAnsiTheme="minorEastAsia"/>
                <w:kern w:val="0"/>
                <w:szCs w:val="21"/>
                <w:lang w:bidi="zh-CN"/>
              </w:rPr>
              <w:t>供</w:t>
            </w:r>
            <w:r>
              <w:rPr>
                <w:rFonts w:hint="eastAsia" w:cs="Arial" w:asciiTheme="minorEastAsia" w:hAnsiTheme="minorEastAsia"/>
                <w:kern w:val="0"/>
                <w:szCs w:val="21"/>
                <w:lang w:bidi="zh-CN"/>
              </w:rPr>
              <w:t>采购方</w:t>
            </w:r>
            <w:r>
              <w:rPr>
                <w:rFonts w:cs="Arial" w:asciiTheme="minorEastAsia" w:hAnsiTheme="minorEastAsia"/>
                <w:kern w:val="0"/>
                <w:szCs w:val="21"/>
                <w:lang w:bidi="zh-CN"/>
              </w:rPr>
              <w:t>选择</w:t>
            </w:r>
          </w:p>
        </w:tc>
        <w:tc>
          <w:tcPr>
            <w:tcW w:w="1965" w:type="dxa"/>
            <w:noWrap w:val="0"/>
            <w:vAlign w:val="center"/>
          </w:tcPr>
          <w:p>
            <w:pPr>
              <w:spacing w:line="360" w:lineRule="atLeast"/>
              <w:rPr>
                <w:rFonts w:hint="eastAsia" w:ascii="宋体" w:hAnsi="宋体" w:cs="宋体"/>
                <w:sz w:val="21"/>
                <w:szCs w:val="21"/>
              </w:rPr>
            </w:pPr>
            <w:r>
              <w:rPr>
                <w:rFonts w:hint="eastAsia" w:cs="Arial" w:asciiTheme="minorEastAsia" w:hAnsiTheme="minorEastAsia"/>
                <w:kern w:val="0"/>
                <w:szCs w:val="21"/>
                <w:lang w:bidi="zh-CN"/>
              </w:rPr>
              <w:t>越多种越好</w:t>
            </w:r>
          </w:p>
        </w:tc>
        <w:tc>
          <w:tcPr>
            <w:tcW w:w="1389" w:type="dxa"/>
            <w:noWrap/>
            <w:vAlign w:val="center"/>
          </w:tcPr>
          <w:p>
            <w:pPr>
              <w:pStyle w:val="156"/>
              <w:spacing w:line="36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6"/>
              <w:spacing w:line="360" w:lineRule="atLeast"/>
              <w:jc w:val="center"/>
              <w:rPr>
                <w:rFonts w:hint="eastAsia"/>
                <w:color w:val="000000"/>
              </w:rPr>
            </w:pPr>
          </w:p>
        </w:tc>
        <w:tc>
          <w:tcPr>
            <w:tcW w:w="1149" w:type="dxa"/>
            <w:vMerge w:val="continue"/>
            <w:noWrap w:val="0"/>
            <w:vAlign w:val="center"/>
          </w:tcPr>
          <w:p>
            <w:pPr>
              <w:pStyle w:val="156"/>
              <w:spacing w:line="360" w:lineRule="atLeast"/>
              <w:jc w:val="center"/>
              <w:rPr>
                <w:rFonts w:hint="eastAsia" w:ascii="宋体" w:hAnsi="宋体" w:cs="宋体"/>
                <w:color w:val="000000"/>
                <w:sz w:val="21"/>
                <w:szCs w:val="21"/>
              </w:rPr>
            </w:pPr>
          </w:p>
        </w:tc>
        <w:tc>
          <w:tcPr>
            <w:tcW w:w="4033" w:type="dxa"/>
            <w:noWrap w:val="0"/>
            <w:vAlign w:val="center"/>
          </w:tcPr>
          <w:p>
            <w:pPr>
              <w:widowControl/>
              <w:jc w:val="left"/>
              <w:rPr>
                <w:rFonts w:hint="eastAsia" w:eastAsia="宋体" w:cs="Arial" w:asciiTheme="minorEastAsia" w:hAnsiTheme="minorEastAsia"/>
                <w:kern w:val="0"/>
                <w:sz w:val="21"/>
                <w:szCs w:val="21"/>
                <w:lang w:val="en-US" w:eastAsia="zh-CN" w:bidi="zh-CN"/>
              </w:rPr>
            </w:pPr>
            <w:r>
              <w:rPr>
                <w:rFonts w:hint="eastAsia" w:cs="Arial" w:asciiTheme="minorEastAsia" w:hAnsiTheme="minorEastAsia"/>
                <w:kern w:val="0"/>
                <w:szCs w:val="21"/>
                <w:lang w:bidi="zh-CN"/>
              </w:rPr>
              <w:t>3.1支持通过转接器与任意手术床连接</w:t>
            </w:r>
          </w:p>
        </w:tc>
        <w:tc>
          <w:tcPr>
            <w:tcW w:w="1965" w:type="dxa"/>
            <w:noWrap w:val="0"/>
            <w:vAlign w:val="center"/>
          </w:tcPr>
          <w:p>
            <w:pPr>
              <w:spacing w:line="360" w:lineRule="atLeast"/>
              <w:jc w:val="center"/>
              <w:rPr>
                <w:rFonts w:hint="eastAsia" w:ascii="宋体" w:hAnsi="宋体" w:cs="宋体"/>
                <w:sz w:val="21"/>
                <w:szCs w:val="21"/>
              </w:rPr>
            </w:pPr>
            <w:r>
              <w:rPr>
                <w:rFonts w:hint="eastAsia" w:ascii="宋体" w:hAnsi="宋体" w:cs="宋体"/>
                <w:sz w:val="21"/>
                <w:szCs w:val="21"/>
                <w:lang w:val="en-US" w:eastAsia="zh-CN"/>
              </w:rPr>
              <w:t>/</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lang w:val="en-US" w:eastAsia="zh-CN"/>
              </w:rPr>
              <w:t>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6"/>
              <w:spacing w:line="360" w:lineRule="atLeast"/>
              <w:jc w:val="center"/>
              <w:rPr>
                <w:rFonts w:hint="eastAsia"/>
                <w:color w:val="000000"/>
              </w:rPr>
            </w:pPr>
          </w:p>
        </w:tc>
        <w:tc>
          <w:tcPr>
            <w:tcW w:w="1149" w:type="dxa"/>
            <w:vMerge w:val="continue"/>
            <w:noWrap w:val="0"/>
            <w:vAlign w:val="center"/>
          </w:tcPr>
          <w:p>
            <w:pPr>
              <w:pStyle w:val="156"/>
              <w:spacing w:line="360" w:lineRule="atLeast"/>
              <w:jc w:val="center"/>
              <w:rPr>
                <w:rFonts w:hint="eastAsia" w:ascii="宋体" w:hAnsi="宋体" w:cs="宋体"/>
                <w:color w:val="000000"/>
                <w:sz w:val="21"/>
                <w:szCs w:val="21"/>
              </w:rPr>
            </w:pPr>
          </w:p>
        </w:tc>
        <w:tc>
          <w:tcPr>
            <w:tcW w:w="4033" w:type="dxa"/>
            <w:noWrap w:val="0"/>
            <w:vAlign w:val="center"/>
          </w:tcPr>
          <w:p>
            <w:pPr>
              <w:widowControl/>
              <w:jc w:val="left"/>
              <w:rPr>
                <w:rFonts w:hint="eastAsia" w:eastAsia="宋体" w:cs="Arial" w:asciiTheme="minorEastAsia" w:hAnsiTheme="minorEastAsia"/>
                <w:kern w:val="0"/>
                <w:sz w:val="21"/>
                <w:szCs w:val="21"/>
                <w:lang w:val="en-US" w:eastAsia="zh-CN" w:bidi="zh-CN"/>
              </w:rPr>
            </w:pPr>
            <w:r>
              <w:rPr>
                <w:rFonts w:cs="Arial" w:asciiTheme="minorEastAsia" w:hAnsiTheme="minorEastAsia"/>
                <w:kern w:val="0"/>
                <w:szCs w:val="21"/>
                <w:lang w:bidi="zh-CN"/>
              </w:rPr>
              <w:t>3.2连床基座复合双锁闭横杆固定，非单锁闭横杆固定</w:t>
            </w:r>
          </w:p>
        </w:tc>
        <w:tc>
          <w:tcPr>
            <w:tcW w:w="1965" w:type="dxa"/>
            <w:noWrap w:val="0"/>
            <w:vAlign w:val="center"/>
          </w:tcPr>
          <w:p>
            <w:pPr>
              <w:spacing w:line="360" w:lineRule="atLeast"/>
              <w:jc w:val="center"/>
              <w:rPr>
                <w:rFonts w:hint="eastAsia" w:ascii="宋体" w:hAnsi="宋体" w:cs="宋体"/>
                <w:sz w:val="21"/>
                <w:szCs w:val="21"/>
              </w:rPr>
            </w:pPr>
            <w:r>
              <w:rPr>
                <w:rFonts w:hint="eastAsia" w:ascii="宋体" w:hAnsi="宋体" w:cs="宋体"/>
                <w:sz w:val="21"/>
                <w:szCs w:val="21"/>
                <w:lang w:val="en-US" w:eastAsia="zh-CN"/>
              </w:rPr>
              <w:t>/</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lang w:val="en-US" w:eastAsia="zh-CN"/>
              </w:rPr>
              <w:t>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6"/>
              <w:spacing w:line="360" w:lineRule="atLeast"/>
              <w:jc w:val="center"/>
              <w:rPr>
                <w:rFonts w:hint="eastAsia"/>
                <w:color w:val="000000"/>
              </w:rPr>
            </w:pPr>
          </w:p>
        </w:tc>
        <w:tc>
          <w:tcPr>
            <w:tcW w:w="1149" w:type="dxa"/>
            <w:vMerge w:val="continue"/>
            <w:noWrap w:val="0"/>
            <w:vAlign w:val="center"/>
          </w:tcPr>
          <w:p>
            <w:pPr>
              <w:pStyle w:val="156"/>
              <w:spacing w:line="360" w:lineRule="atLeast"/>
              <w:jc w:val="center"/>
              <w:rPr>
                <w:rFonts w:hint="eastAsia" w:ascii="宋体" w:hAnsi="宋体" w:cs="宋体"/>
                <w:color w:val="000000"/>
                <w:sz w:val="21"/>
                <w:szCs w:val="21"/>
              </w:rPr>
            </w:pPr>
          </w:p>
        </w:tc>
        <w:tc>
          <w:tcPr>
            <w:tcW w:w="4033" w:type="dxa"/>
            <w:noWrap w:val="0"/>
            <w:vAlign w:val="center"/>
          </w:tcPr>
          <w:p>
            <w:pPr>
              <w:widowControl/>
              <w:jc w:val="left"/>
              <w:rPr>
                <w:rFonts w:hint="eastAsia" w:eastAsia="宋体" w:cs="Arial" w:asciiTheme="minorEastAsia" w:hAnsiTheme="minorEastAsia"/>
                <w:kern w:val="0"/>
                <w:sz w:val="21"/>
                <w:szCs w:val="21"/>
                <w:lang w:val="en-US" w:eastAsia="zh-CN" w:bidi="zh-CN"/>
              </w:rPr>
            </w:pPr>
            <w:r>
              <w:rPr>
                <w:rFonts w:cs="Arial" w:asciiTheme="minorEastAsia" w:hAnsiTheme="minorEastAsia"/>
                <w:kern w:val="0"/>
                <w:szCs w:val="21"/>
                <w:lang w:bidi="zh-CN"/>
              </w:rPr>
              <w:t>3.3基座插杆间距可调，可与手术床连接，有绝缘垫，复合双锁闭横杆固定扳手镀金防锈处理，附调节扳手</w:t>
            </w:r>
          </w:p>
        </w:tc>
        <w:tc>
          <w:tcPr>
            <w:tcW w:w="1965" w:type="dxa"/>
            <w:noWrap w:val="0"/>
            <w:vAlign w:val="center"/>
          </w:tcPr>
          <w:p>
            <w:pPr>
              <w:spacing w:line="360" w:lineRule="atLeast"/>
              <w:jc w:val="center"/>
              <w:rPr>
                <w:rFonts w:hint="eastAsia" w:ascii="宋体" w:hAnsi="宋体" w:cs="宋体"/>
                <w:sz w:val="21"/>
                <w:szCs w:val="21"/>
              </w:rPr>
            </w:pPr>
            <w:r>
              <w:rPr>
                <w:rFonts w:hint="eastAsia" w:ascii="宋体" w:hAnsi="宋体" w:cs="宋体"/>
                <w:sz w:val="21"/>
                <w:szCs w:val="21"/>
                <w:lang w:val="en-US" w:eastAsia="zh-CN"/>
              </w:rPr>
              <w:t>/</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lang w:val="en-US" w:eastAsia="zh-CN"/>
              </w:rPr>
              <w:t>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6"/>
              <w:spacing w:line="360" w:lineRule="atLeast"/>
              <w:jc w:val="center"/>
              <w:rPr>
                <w:rFonts w:hint="eastAsia"/>
                <w:color w:val="000000"/>
              </w:rPr>
            </w:pPr>
          </w:p>
        </w:tc>
        <w:tc>
          <w:tcPr>
            <w:tcW w:w="1149" w:type="dxa"/>
            <w:vMerge w:val="continue"/>
            <w:noWrap w:val="0"/>
            <w:vAlign w:val="center"/>
          </w:tcPr>
          <w:p>
            <w:pPr>
              <w:pStyle w:val="156"/>
              <w:spacing w:line="360" w:lineRule="atLeast"/>
              <w:jc w:val="center"/>
              <w:rPr>
                <w:rFonts w:hint="eastAsia" w:ascii="宋体" w:hAnsi="宋体" w:cs="宋体"/>
                <w:color w:val="000000"/>
                <w:sz w:val="21"/>
                <w:szCs w:val="21"/>
              </w:rPr>
            </w:pPr>
          </w:p>
        </w:tc>
        <w:tc>
          <w:tcPr>
            <w:tcW w:w="4033" w:type="dxa"/>
            <w:noWrap w:val="0"/>
            <w:vAlign w:val="center"/>
          </w:tcPr>
          <w:p>
            <w:pPr>
              <w:widowControl/>
              <w:jc w:val="left"/>
              <w:rPr>
                <w:rFonts w:hint="eastAsia" w:eastAsia="宋体" w:cs="Arial" w:asciiTheme="minorEastAsia" w:hAnsiTheme="minorEastAsia"/>
                <w:kern w:val="0"/>
                <w:sz w:val="21"/>
                <w:szCs w:val="21"/>
                <w:lang w:val="en-US" w:eastAsia="zh-CN" w:bidi="zh-CN"/>
              </w:rPr>
            </w:pPr>
            <w:r>
              <w:rPr>
                <w:rFonts w:hint="eastAsia" w:cs="Arial" w:asciiTheme="minorEastAsia" w:hAnsiTheme="minorEastAsia"/>
                <w:kern w:val="0"/>
                <w:szCs w:val="21"/>
                <w:lang w:bidi="zh-CN"/>
              </w:rPr>
              <w:t>★4.1软轴牵开器采用头圈设计，由两个半圆金属环连接组成，可折叠</w:t>
            </w:r>
          </w:p>
        </w:tc>
        <w:tc>
          <w:tcPr>
            <w:tcW w:w="1965" w:type="dxa"/>
            <w:noWrap w:val="0"/>
            <w:vAlign w:val="center"/>
          </w:tcPr>
          <w:p>
            <w:pPr>
              <w:spacing w:line="360" w:lineRule="atLeast"/>
              <w:jc w:val="center"/>
              <w:rPr>
                <w:rFonts w:hint="eastAsia" w:ascii="宋体" w:hAnsi="宋体" w:cs="宋体"/>
                <w:sz w:val="21"/>
                <w:szCs w:val="21"/>
              </w:rPr>
            </w:pPr>
            <w:r>
              <w:rPr>
                <w:rFonts w:hint="eastAsia" w:ascii="宋体" w:hAnsi="宋体" w:cs="宋体"/>
                <w:sz w:val="21"/>
                <w:szCs w:val="21"/>
                <w:lang w:val="en-US" w:eastAsia="zh-CN"/>
              </w:rPr>
              <w:t>/</w:t>
            </w:r>
          </w:p>
        </w:tc>
        <w:tc>
          <w:tcPr>
            <w:tcW w:w="1389" w:type="dxa"/>
            <w:noWrap/>
            <w:vAlign w:val="center"/>
          </w:tcPr>
          <w:p>
            <w:pPr>
              <w:pStyle w:val="156"/>
              <w:spacing w:line="360" w:lineRule="atLeast"/>
              <w:jc w:val="center"/>
              <w:rPr>
                <w:rFonts w:hint="eastAsia" w:ascii="宋体" w:hAnsi="宋体" w:cs="宋体"/>
                <w:color w:val="000000"/>
                <w:sz w:val="21"/>
                <w:szCs w:val="21"/>
              </w:rPr>
            </w:pPr>
            <w:r>
              <w:rPr>
                <w:rFonts w:hint="eastAsia" w:ascii="宋体" w:hAnsi="宋体" w:cs="宋体"/>
                <w:color w:val="000000"/>
                <w:sz w:val="21"/>
                <w:szCs w:val="21"/>
                <w:lang w:val="en-US" w:eastAsia="zh-CN"/>
              </w:rPr>
              <w:t>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6"/>
              <w:spacing w:line="360" w:lineRule="atLeast"/>
              <w:jc w:val="center"/>
              <w:rPr>
                <w:rFonts w:hint="eastAsia"/>
                <w:color w:val="000000"/>
              </w:rPr>
            </w:pPr>
          </w:p>
        </w:tc>
        <w:tc>
          <w:tcPr>
            <w:tcW w:w="1149" w:type="dxa"/>
            <w:vMerge w:val="continue"/>
            <w:noWrap w:val="0"/>
            <w:vAlign w:val="center"/>
          </w:tcPr>
          <w:p>
            <w:pPr>
              <w:pStyle w:val="156"/>
              <w:spacing w:line="360" w:lineRule="atLeast"/>
              <w:jc w:val="center"/>
              <w:rPr>
                <w:rFonts w:hint="eastAsia" w:ascii="宋体" w:hAnsi="宋体" w:cs="宋体"/>
                <w:color w:val="000000"/>
                <w:sz w:val="21"/>
                <w:szCs w:val="21"/>
              </w:rPr>
            </w:pPr>
          </w:p>
        </w:tc>
        <w:tc>
          <w:tcPr>
            <w:tcW w:w="4033" w:type="dxa"/>
            <w:noWrap w:val="0"/>
            <w:vAlign w:val="center"/>
          </w:tcPr>
          <w:p>
            <w:pPr>
              <w:widowControl/>
              <w:jc w:val="left"/>
              <w:rPr>
                <w:rFonts w:hint="eastAsia" w:eastAsia="宋体" w:cs="Arial" w:asciiTheme="minorEastAsia" w:hAnsiTheme="minorEastAsia"/>
                <w:kern w:val="0"/>
                <w:sz w:val="21"/>
                <w:szCs w:val="21"/>
                <w:lang w:val="en-US" w:eastAsia="zh-CN" w:bidi="zh-CN"/>
              </w:rPr>
            </w:pPr>
            <w:r>
              <w:rPr>
                <w:rFonts w:hint="eastAsia" w:cs="Arial" w:asciiTheme="minorEastAsia" w:hAnsiTheme="minorEastAsia"/>
                <w:kern w:val="0"/>
                <w:szCs w:val="21"/>
                <w:lang w:bidi="zh-CN"/>
              </w:rPr>
              <w:t>4.2头圈采用双铰接锁定，头圈的角度可任意调节</w:t>
            </w:r>
          </w:p>
        </w:tc>
        <w:tc>
          <w:tcPr>
            <w:tcW w:w="1965" w:type="dxa"/>
            <w:noWrap w:val="0"/>
            <w:vAlign w:val="center"/>
          </w:tcPr>
          <w:p>
            <w:pPr>
              <w:spacing w:line="360" w:lineRule="atLeast"/>
              <w:jc w:val="center"/>
              <w:rPr>
                <w:rFonts w:hint="eastAsia" w:ascii="宋体" w:hAnsi="宋体" w:cs="宋体"/>
                <w:sz w:val="21"/>
                <w:szCs w:val="21"/>
              </w:rPr>
            </w:pPr>
            <w:r>
              <w:rPr>
                <w:rFonts w:hint="eastAsia" w:ascii="宋体" w:hAnsi="宋体" w:cs="宋体"/>
                <w:sz w:val="21"/>
                <w:szCs w:val="21"/>
                <w:lang w:val="en-US" w:eastAsia="zh-CN"/>
              </w:rPr>
              <w:t>/</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lang w:val="en-US" w:eastAsia="zh-CN"/>
              </w:rPr>
              <w:t>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6"/>
              <w:spacing w:line="360" w:lineRule="atLeast"/>
              <w:jc w:val="center"/>
              <w:rPr>
                <w:rFonts w:hint="eastAsia"/>
                <w:color w:val="000000"/>
              </w:rPr>
            </w:pPr>
          </w:p>
        </w:tc>
        <w:tc>
          <w:tcPr>
            <w:tcW w:w="1149" w:type="dxa"/>
            <w:vMerge w:val="continue"/>
            <w:noWrap w:val="0"/>
            <w:vAlign w:val="center"/>
          </w:tcPr>
          <w:p>
            <w:pPr>
              <w:pStyle w:val="156"/>
              <w:spacing w:line="360" w:lineRule="atLeast"/>
              <w:jc w:val="center"/>
              <w:rPr>
                <w:rFonts w:hint="eastAsia" w:ascii="宋体" w:hAnsi="宋体" w:cs="宋体"/>
                <w:color w:val="000000"/>
                <w:sz w:val="21"/>
                <w:szCs w:val="21"/>
              </w:rPr>
            </w:pPr>
          </w:p>
        </w:tc>
        <w:tc>
          <w:tcPr>
            <w:tcW w:w="4033" w:type="dxa"/>
            <w:noWrap w:val="0"/>
            <w:vAlign w:val="center"/>
          </w:tcPr>
          <w:p>
            <w:pPr>
              <w:widowControl/>
              <w:jc w:val="left"/>
              <w:rPr>
                <w:rFonts w:hint="eastAsia" w:eastAsia="宋体" w:cs="Arial" w:asciiTheme="minorEastAsia" w:hAnsiTheme="minorEastAsia"/>
                <w:kern w:val="0"/>
                <w:sz w:val="21"/>
                <w:szCs w:val="21"/>
                <w:lang w:val="en-US" w:eastAsia="zh-CN" w:bidi="zh-CN"/>
              </w:rPr>
            </w:pPr>
            <w:r>
              <w:rPr>
                <w:rFonts w:hint="eastAsia" w:cs="Arial" w:asciiTheme="minorEastAsia" w:hAnsiTheme="minorEastAsia"/>
                <w:kern w:val="0"/>
                <w:szCs w:val="21"/>
                <w:lang w:bidi="zh-CN"/>
              </w:rPr>
              <w:t>4.3软轴牵开器的任意位置都可安装软轴</w:t>
            </w:r>
          </w:p>
        </w:tc>
        <w:tc>
          <w:tcPr>
            <w:tcW w:w="1965" w:type="dxa"/>
            <w:noWrap w:val="0"/>
            <w:vAlign w:val="center"/>
          </w:tcPr>
          <w:p>
            <w:pPr>
              <w:spacing w:line="360" w:lineRule="atLeast"/>
              <w:jc w:val="center"/>
              <w:rPr>
                <w:rFonts w:hint="eastAsia" w:ascii="宋体" w:hAnsi="宋体" w:cs="宋体"/>
                <w:sz w:val="21"/>
                <w:szCs w:val="21"/>
              </w:rPr>
            </w:pPr>
            <w:r>
              <w:rPr>
                <w:rFonts w:hint="eastAsia" w:ascii="宋体" w:hAnsi="宋体" w:cs="宋体"/>
                <w:sz w:val="21"/>
                <w:szCs w:val="21"/>
                <w:lang w:val="en-US" w:eastAsia="zh-CN"/>
              </w:rPr>
              <w:t>/</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lang w:val="en-US" w:eastAsia="zh-CN"/>
              </w:rPr>
              <w:t>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6"/>
              <w:spacing w:line="360" w:lineRule="atLeast"/>
              <w:jc w:val="center"/>
              <w:rPr>
                <w:rFonts w:hint="eastAsia"/>
                <w:color w:val="000000"/>
              </w:rPr>
            </w:pPr>
          </w:p>
        </w:tc>
        <w:tc>
          <w:tcPr>
            <w:tcW w:w="1149" w:type="dxa"/>
            <w:vMerge w:val="continue"/>
            <w:noWrap w:val="0"/>
            <w:vAlign w:val="center"/>
          </w:tcPr>
          <w:p>
            <w:pPr>
              <w:pStyle w:val="156"/>
              <w:spacing w:line="360" w:lineRule="atLeast"/>
              <w:jc w:val="center"/>
              <w:rPr>
                <w:rFonts w:hint="eastAsia" w:ascii="宋体" w:hAnsi="宋体" w:cs="宋体"/>
                <w:color w:val="000000"/>
                <w:sz w:val="21"/>
                <w:szCs w:val="21"/>
              </w:rPr>
            </w:pPr>
          </w:p>
        </w:tc>
        <w:tc>
          <w:tcPr>
            <w:tcW w:w="4033" w:type="dxa"/>
            <w:noWrap w:val="0"/>
            <w:vAlign w:val="center"/>
          </w:tcPr>
          <w:p>
            <w:pPr>
              <w:widowControl/>
              <w:jc w:val="left"/>
              <w:rPr>
                <w:rFonts w:hint="eastAsia" w:eastAsia="宋体" w:cs="Arial" w:asciiTheme="minorEastAsia" w:hAnsiTheme="minorEastAsia"/>
                <w:kern w:val="0"/>
                <w:sz w:val="21"/>
                <w:szCs w:val="21"/>
                <w:lang w:val="en-US" w:eastAsia="zh-CN" w:bidi="zh-CN"/>
              </w:rPr>
            </w:pPr>
            <w:r>
              <w:rPr>
                <w:rFonts w:hint="eastAsia" w:cs="Arial" w:asciiTheme="minorEastAsia" w:hAnsiTheme="minorEastAsia"/>
                <w:kern w:val="0"/>
                <w:szCs w:val="21"/>
                <w:lang w:bidi="zh-CN"/>
              </w:rPr>
              <w:t>▲4.4软轴牵开器可安装在头夹上，也可通过边轨连接器直接安装在手术床上</w:t>
            </w:r>
          </w:p>
        </w:tc>
        <w:tc>
          <w:tcPr>
            <w:tcW w:w="1965" w:type="dxa"/>
            <w:noWrap w:val="0"/>
            <w:vAlign w:val="center"/>
          </w:tcPr>
          <w:p>
            <w:pPr>
              <w:spacing w:line="360" w:lineRule="atLeast"/>
              <w:jc w:val="center"/>
              <w:rPr>
                <w:rFonts w:hint="eastAsia" w:ascii="宋体" w:hAnsi="宋体" w:cs="宋体"/>
                <w:sz w:val="21"/>
                <w:szCs w:val="21"/>
              </w:rPr>
            </w:pPr>
            <w:r>
              <w:rPr>
                <w:rFonts w:hint="eastAsia" w:ascii="宋体" w:hAnsi="宋体" w:cs="宋体"/>
                <w:sz w:val="21"/>
                <w:szCs w:val="21"/>
                <w:lang w:val="en-US" w:eastAsia="zh-CN"/>
              </w:rPr>
              <w:t>/</w:t>
            </w:r>
          </w:p>
        </w:tc>
        <w:tc>
          <w:tcPr>
            <w:tcW w:w="1389" w:type="dxa"/>
            <w:noWrap/>
            <w:vAlign w:val="center"/>
          </w:tcPr>
          <w:p>
            <w:pPr>
              <w:pStyle w:val="156"/>
              <w:spacing w:line="360" w:lineRule="atLeast"/>
              <w:jc w:val="center"/>
              <w:rPr>
                <w:rFonts w:hint="eastAsia" w:ascii="宋体" w:hAnsi="宋体" w:cs="宋体"/>
                <w:color w:val="000000"/>
                <w:sz w:val="21"/>
                <w:szCs w:val="21"/>
              </w:rPr>
            </w:pPr>
            <w:r>
              <w:rPr>
                <w:rFonts w:hint="eastAsia" w:ascii="宋体" w:hAnsi="宋体" w:cs="宋体"/>
                <w:color w:val="000000"/>
                <w:sz w:val="21"/>
                <w:szCs w:val="21"/>
                <w:lang w:val="en-US" w:eastAsia="zh-CN"/>
              </w:rPr>
              <w:t>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6"/>
              <w:spacing w:line="360" w:lineRule="atLeast"/>
              <w:jc w:val="center"/>
              <w:rPr>
                <w:rFonts w:hint="eastAsia"/>
                <w:color w:val="000000"/>
              </w:rPr>
            </w:pPr>
          </w:p>
        </w:tc>
        <w:tc>
          <w:tcPr>
            <w:tcW w:w="1149" w:type="dxa"/>
            <w:vMerge w:val="continue"/>
            <w:noWrap w:val="0"/>
            <w:vAlign w:val="center"/>
          </w:tcPr>
          <w:p>
            <w:pPr>
              <w:pStyle w:val="156"/>
              <w:spacing w:line="360" w:lineRule="atLeast"/>
              <w:jc w:val="center"/>
              <w:rPr>
                <w:rFonts w:hint="eastAsia" w:ascii="宋体" w:hAnsi="宋体" w:cs="宋体"/>
                <w:color w:val="000000"/>
                <w:sz w:val="21"/>
                <w:szCs w:val="21"/>
              </w:rPr>
            </w:pPr>
          </w:p>
        </w:tc>
        <w:tc>
          <w:tcPr>
            <w:tcW w:w="4033" w:type="dxa"/>
            <w:noWrap w:val="0"/>
            <w:vAlign w:val="center"/>
          </w:tcPr>
          <w:p>
            <w:pPr>
              <w:widowControl/>
              <w:jc w:val="left"/>
              <w:rPr>
                <w:rFonts w:hint="eastAsia" w:eastAsia="宋体" w:cs="Arial" w:asciiTheme="minorEastAsia" w:hAnsiTheme="minorEastAsia"/>
                <w:kern w:val="0"/>
                <w:sz w:val="21"/>
                <w:szCs w:val="21"/>
                <w:lang w:val="en-US" w:eastAsia="zh-CN" w:bidi="zh-CN"/>
              </w:rPr>
            </w:pPr>
            <w:r>
              <w:rPr>
                <w:rFonts w:hint="eastAsia" w:cs="Arial" w:asciiTheme="minorEastAsia" w:hAnsiTheme="minorEastAsia"/>
                <w:kern w:val="0"/>
                <w:szCs w:val="21"/>
                <w:lang w:bidi="zh-CN"/>
              </w:rPr>
              <w:t>4.5软轴与头圈（J臂）连接</w:t>
            </w:r>
          </w:p>
        </w:tc>
        <w:tc>
          <w:tcPr>
            <w:tcW w:w="1965" w:type="dxa"/>
            <w:noWrap w:val="0"/>
            <w:vAlign w:val="center"/>
          </w:tcPr>
          <w:p>
            <w:pPr>
              <w:spacing w:line="360" w:lineRule="atLeast"/>
              <w:jc w:val="center"/>
              <w:rPr>
                <w:rFonts w:hint="eastAsia" w:ascii="宋体" w:hAnsi="宋体" w:cs="宋体"/>
                <w:sz w:val="21"/>
                <w:szCs w:val="21"/>
              </w:rPr>
            </w:pPr>
            <w:r>
              <w:rPr>
                <w:rFonts w:hint="eastAsia" w:ascii="宋体" w:hAnsi="宋体" w:cs="宋体"/>
                <w:sz w:val="21"/>
                <w:szCs w:val="21"/>
                <w:lang w:val="en-US" w:eastAsia="zh-CN"/>
              </w:rPr>
              <w:t>/</w:t>
            </w:r>
          </w:p>
        </w:tc>
        <w:tc>
          <w:tcPr>
            <w:tcW w:w="1389" w:type="dxa"/>
            <w:noWrap/>
            <w:vAlign w:val="center"/>
          </w:tcPr>
          <w:p>
            <w:pPr>
              <w:pStyle w:val="156"/>
              <w:spacing w:line="360" w:lineRule="atLeast"/>
              <w:jc w:val="center"/>
              <w:rPr>
                <w:rFonts w:hint="eastAsia" w:ascii="宋体" w:hAnsi="宋体" w:cs="宋体"/>
                <w:color w:val="000000"/>
                <w:sz w:val="21"/>
                <w:szCs w:val="21"/>
              </w:rPr>
            </w:pPr>
            <w:r>
              <w:rPr>
                <w:rFonts w:hint="eastAsia" w:ascii="宋体" w:hAnsi="宋体" w:cs="宋体"/>
                <w:color w:val="000000"/>
                <w:sz w:val="21"/>
                <w:szCs w:val="21"/>
                <w:lang w:val="en-US" w:eastAsia="zh-CN"/>
              </w:rPr>
              <w:t>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6"/>
              <w:spacing w:line="360" w:lineRule="atLeast"/>
              <w:jc w:val="center"/>
              <w:rPr>
                <w:rFonts w:hint="eastAsia"/>
                <w:color w:val="000000"/>
              </w:rPr>
            </w:pPr>
          </w:p>
        </w:tc>
        <w:tc>
          <w:tcPr>
            <w:tcW w:w="1149" w:type="dxa"/>
            <w:vMerge w:val="continue"/>
            <w:noWrap w:val="0"/>
            <w:vAlign w:val="center"/>
          </w:tcPr>
          <w:p>
            <w:pPr>
              <w:pStyle w:val="156"/>
              <w:spacing w:line="360" w:lineRule="atLeast"/>
              <w:jc w:val="center"/>
              <w:rPr>
                <w:rFonts w:hint="eastAsia" w:ascii="宋体" w:hAnsi="宋体" w:cs="宋体"/>
                <w:color w:val="000000"/>
                <w:sz w:val="21"/>
                <w:szCs w:val="21"/>
              </w:rPr>
            </w:pPr>
          </w:p>
        </w:tc>
        <w:tc>
          <w:tcPr>
            <w:tcW w:w="4033" w:type="dxa"/>
            <w:noWrap w:val="0"/>
            <w:vAlign w:val="center"/>
          </w:tcPr>
          <w:p>
            <w:pPr>
              <w:widowControl/>
              <w:jc w:val="left"/>
              <w:rPr>
                <w:rFonts w:hint="eastAsia" w:eastAsia="宋体" w:cs="Arial" w:asciiTheme="minorEastAsia" w:hAnsiTheme="minorEastAsia"/>
                <w:kern w:val="0"/>
                <w:sz w:val="21"/>
                <w:szCs w:val="21"/>
                <w:lang w:val="en-US" w:eastAsia="zh-CN" w:bidi="zh-CN"/>
              </w:rPr>
            </w:pPr>
            <w:r>
              <w:rPr>
                <w:rFonts w:hint="eastAsia" w:cs="Arial" w:asciiTheme="minorEastAsia" w:hAnsiTheme="minorEastAsia"/>
                <w:kern w:val="0"/>
                <w:szCs w:val="21"/>
                <w:lang w:bidi="zh-CN"/>
              </w:rPr>
              <w:t>▲4.6软轴可在头圈上实现360º连续无中断牵拉</w:t>
            </w:r>
          </w:p>
        </w:tc>
        <w:tc>
          <w:tcPr>
            <w:tcW w:w="1965" w:type="dxa"/>
            <w:noWrap w:val="0"/>
            <w:vAlign w:val="center"/>
          </w:tcPr>
          <w:p>
            <w:pPr>
              <w:spacing w:line="360" w:lineRule="atLeast"/>
              <w:jc w:val="center"/>
              <w:rPr>
                <w:rFonts w:hint="eastAsia" w:ascii="宋体" w:hAnsi="宋体" w:cs="宋体"/>
                <w:b/>
                <w:bCs/>
                <w:color w:val="000000"/>
                <w:sz w:val="21"/>
                <w:szCs w:val="21"/>
              </w:rPr>
            </w:pPr>
            <w:r>
              <w:rPr>
                <w:rFonts w:hint="eastAsia" w:ascii="宋体" w:hAnsi="宋体" w:cs="宋体"/>
                <w:sz w:val="21"/>
                <w:szCs w:val="21"/>
                <w:lang w:val="en-US" w:eastAsia="zh-CN"/>
              </w:rPr>
              <w:t>/</w:t>
            </w:r>
          </w:p>
        </w:tc>
        <w:tc>
          <w:tcPr>
            <w:tcW w:w="1389" w:type="dxa"/>
            <w:noWrap/>
            <w:vAlign w:val="center"/>
          </w:tcPr>
          <w:p>
            <w:pPr>
              <w:pStyle w:val="156"/>
              <w:spacing w:line="360" w:lineRule="atLeast"/>
              <w:jc w:val="center"/>
              <w:rPr>
                <w:rFonts w:hint="eastAsia" w:ascii="宋体" w:hAnsi="宋体" w:cs="宋体"/>
                <w:color w:val="000000"/>
                <w:sz w:val="21"/>
                <w:szCs w:val="21"/>
              </w:rPr>
            </w:pPr>
            <w:r>
              <w:rPr>
                <w:rFonts w:hint="eastAsia" w:ascii="宋体" w:hAnsi="宋体" w:cs="宋体"/>
                <w:color w:val="000000"/>
                <w:sz w:val="21"/>
                <w:szCs w:val="21"/>
                <w:lang w:val="en-US" w:eastAsia="zh-CN"/>
              </w:rPr>
              <w:t>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6"/>
              <w:spacing w:line="360" w:lineRule="atLeast"/>
              <w:jc w:val="center"/>
              <w:rPr>
                <w:rFonts w:hint="eastAsia"/>
                <w:color w:val="000000"/>
              </w:rPr>
            </w:pPr>
          </w:p>
        </w:tc>
        <w:tc>
          <w:tcPr>
            <w:tcW w:w="1149" w:type="dxa"/>
            <w:vMerge w:val="continue"/>
            <w:noWrap w:val="0"/>
            <w:vAlign w:val="center"/>
          </w:tcPr>
          <w:p>
            <w:pPr>
              <w:pStyle w:val="156"/>
              <w:spacing w:line="360" w:lineRule="atLeast"/>
              <w:jc w:val="center"/>
              <w:rPr>
                <w:rFonts w:hint="eastAsia" w:ascii="宋体" w:hAnsi="宋体" w:cs="宋体"/>
                <w:color w:val="000000"/>
                <w:sz w:val="21"/>
                <w:szCs w:val="21"/>
              </w:rPr>
            </w:pPr>
          </w:p>
        </w:tc>
        <w:tc>
          <w:tcPr>
            <w:tcW w:w="4033" w:type="dxa"/>
            <w:noWrap w:val="0"/>
            <w:vAlign w:val="center"/>
          </w:tcPr>
          <w:p>
            <w:pPr>
              <w:widowControl/>
              <w:jc w:val="left"/>
              <w:rPr>
                <w:rFonts w:hint="eastAsia" w:eastAsia="宋体" w:cs="Arial" w:asciiTheme="minorEastAsia" w:hAnsiTheme="minorEastAsia"/>
                <w:kern w:val="0"/>
                <w:sz w:val="21"/>
                <w:szCs w:val="21"/>
                <w:lang w:val="en-US" w:eastAsia="zh-CN" w:bidi="zh-CN"/>
              </w:rPr>
            </w:pPr>
            <w:r>
              <w:rPr>
                <w:rFonts w:hint="eastAsia" w:cs="Arial" w:asciiTheme="minorEastAsia" w:hAnsiTheme="minorEastAsia"/>
                <w:kern w:val="0"/>
                <w:szCs w:val="21"/>
                <w:lang w:bidi="zh-CN"/>
              </w:rPr>
              <w:t>4.7脑压板有多种型号，常规脑压板长≥101.6mm，宽6.4～25.4mm；显微脑压板长114.3～190.5mm，宽2～4mm</w:t>
            </w:r>
          </w:p>
        </w:tc>
        <w:tc>
          <w:tcPr>
            <w:tcW w:w="1965" w:type="dxa"/>
            <w:noWrap w:val="0"/>
            <w:vAlign w:val="center"/>
          </w:tcPr>
          <w:p>
            <w:pPr>
              <w:spacing w:line="360" w:lineRule="atLeast"/>
              <w:jc w:val="center"/>
              <w:rPr>
                <w:rFonts w:hint="eastAsia" w:ascii="宋体" w:hAnsi="宋体" w:cs="宋体"/>
                <w:b/>
                <w:bCs/>
                <w:color w:val="000000"/>
                <w:sz w:val="21"/>
                <w:szCs w:val="21"/>
              </w:rPr>
            </w:pPr>
            <w:r>
              <w:rPr>
                <w:rFonts w:hint="eastAsia" w:ascii="宋体" w:hAnsi="宋体" w:cs="宋体"/>
                <w:sz w:val="21"/>
                <w:szCs w:val="21"/>
                <w:lang w:val="en-US" w:eastAsia="zh-CN"/>
              </w:rPr>
              <w:t>/</w:t>
            </w:r>
          </w:p>
        </w:tc>
        <w:tc>
          <w:tcPr>
            <w:tcW w:w="1389" w:type="dxa"/>
            <w:noWrap/>
            <w:vAlign w:val="center"/>
          </w:tcPr>
          <w:p>
            <w:pPr>
              <w:pStyle w:val="156"/>
              <w:spacing w:line="360" w:lineRule="atLeast"/>
              <w:jc w:val="center"/>
              <w:rPr>
                <w:rFonts w:hint="eastAsia" w:ascii="宋体" w:hAnsi="宋体" w:cs="宋体"/>
                <w:color w:val="000000"/>
                <w:sz w:val="21"/>
                <w:szCs w:val="21"/>
              </w:rPr>
            </w:pPr>
            <w:r>
              <w:rPr>
                <w:rFonts w:hint="eastAsia" w:ascii="宋体" w:hAnsi="宋体" w:cs="宋体"/>
                <w:color w:val="000000"/>
                <w:sz w:val="21"/>
                <w:szCs w:val="21"/>
                <w:lang w:val="en-US" w:eastAsia="zh-CN"/>
              </w:rPr>
              <w:t>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6"/>
              <w:spacing w:line="360" w:lineRule="atLeast"/>
              <w:jc w:val="center"/>
              <w:rPr>
                <w:rFonts w:hint="eastAsia"/>
                <w:color w:val="000000"/>
              </w:rPr>
            </w:pPr>
          </w:p>
        </w:tc>
        <w:tc>
          <w:tcPr>
            <w:tcW w:w="1149" w:type="dxa"/>
            <w:vMerge w:val="continue"/>
            <w:noWrap w:val="0"/>
            <w:vAlign w:val="center"/>
          </w:tcPr>
          <w:p>
            <w:pPr>
              <w:pStyle w:val="156"/>
              <w:spacing w:line="360" w:lineRule="atLeast"/>
              <w:jc w:val="center"/>
              <w:rPr>
                <w:rFonts w:hint="eastAsia" w:ascii="宋体" w:hAnsi="宋体" w:cs="宋体"/>
                <w:color w:val="000000"/>
                <w:sz w:val="21"/>
                <w:szCs w:val="21"/>
              </w:rPr>
            </w:pPr>
          </w:p>
        </w:tc>
        <w:tc>
          <w:tcPr>
            <w:tcW w:w="4033" w:type="dxa"/>
            <w:noWrap w:val="0"/>
            <w:vAlign w:val="center"/>
          </w:tcPr>
          <w:p>
            <w:pPr>
              <w:widowControl/>
              <w:jc w:val="left"/>
              <w:rPr>
                <w:rFonts w:hint="eastAsia" w:eastAsia="宋体" w:cs="Arial" w:asciiTheme="minorEastAsia" w:hAnsiTheme="minorEastAsia"/>
                <w:kern w:val="0"/>
                <w:sz w:val="21"/>
                <w:szCs w:val="21"/>
                <w:lang w:val="en-US" w:eastAsia="zh-CN" w:bidi="zh-CN"/>
              </w:rPr>
            </w:pPr>
            <w:r>
              <w:rPr>
                <w:rFonts w:hint="eastAsia" w:cs="Arial" w:asciiTheme="minorEastAsia" w:hAnsiTheme="minorEastAsia"/>
                <w:kern w:val="0"/>
                <w:szCs w:val="21"/>
                <w:lang w:bidi="zh-CN"/>
              </w:rPr>
              <w:t>5.马蹄形头托采用凝胶垫，宽度、角度和高度可自由调节</w:t>
            </w:r>
          </w:p>
        </w:tc>
        <w:tc>
          <w:tcPr>
            <w:tcW w:w="1965" w:type="dxa"/>
            <w:noWrap w:val="0"/>
            <w:vAlign w:val="center"/>
          </w:tcPr>
          <w:p>
            <w:pPr>
              <w:spacing w:line="360" w:lineRule="atLeast"/>
              <w:jc w:val="center"/>
              <w:rPr>
                <w:rFonts w:hint="eastAsia" w:ascii="宋体" w:hAnsi="宋体" w:cs="宋体"/>
                <w:b/>
                <w:bCs/>
                <w:color w:val="000000"/>
                <w:sz w:val="21"/>
                <w:szCs w:val="21"/>
              </w:rPr>
            </w:pPr>
            <w:r>
              <w:rPr>
                <w:rFonts w:hint="eastAsia" w:ascii="宋体" w:hAnsi="宋体" w:cs="宋体"/>
                <w:sz w:val="21"/>
                <w:szCs w:val="21"/>
                <w:lang w:val="en-US" w:eastAsia="zh-CN"/>
              </w:rPr>
              <w:t>/</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lang w:val="en-US" w:eastAsia="zh-CN"/>
              </w:rPr>
              <w:t>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6"/>
              <w:spacing w:line="360" w:lineRule="atLeast"/>
              <w:jc w:val="center"/>
              <w:rPr>
                <w:rFonts w:hint="eastAsia"/>
                <w:color w:val="000000"/>
              </w:rPr>
            </w:pPr>
          </w:p>
        </w:tc>
        <w:tc>
          <w:tcPr>
            <w:tcW w:w="1149" w:type="dxa"/>
            <w:vMerge w:val="continue"/>
            <w:noWrap w:val="0"/>
            <w:vAlign w:val="center"/>
          </w:tcPr>
          <w:p>
            <w:pPr>
              <w:pStyle w:val="156"/>
              <w:spacing w:line="360" w:lineRule="atLeast"/>
              <w:jc w:val="center"/>
              <w:rPr>
                <w:rFonts w:hint="eastAsia" w:ascii="宋体" w:hAnsi="宋体" w:cs="宋体"/>
                <w:color w:val="000000"/>
                <w:sz w:val="21"/>
                <w:szCs w:val="21"/>
              </w:rPr>
            </w:pPr>
          </w:p>
        </w:tc>
        <w:tc>
          <w:tcPr>
            <w:tcW w:w="4033" w:type="dxa"/>
            <w:noWrap w:val="0"/>
            <w:vAlign w:val="center"/>
          </w:tcPr>
          <w:p>
            <w:pPr>
              <w:widowControl/>
              <w:jc w:val="left"/>
              <w:rPr>
                <w:rFonts w:hint="eastAsia" w:eastAsia="宋体" w:cs="Arial" w:asciiTheme="minorEastAsia" w:hAnsiTheme="minorEastAsia"/>
                <w:kern w:val="0"/>
                <w:sz w:val="21"/>
                <w:szCs w:val="21"/>
                <w:lang w:val="en-US" w:eastAsia="zh-CN" w:bidi="zh-CN"/>
              </w:rPr>
            </w:pPr>
            <w:r>
              <w:rPr>
                <w:rFonts w:hint="eastAsia" w:cs="Arial" w:asciiTheme="minorEastAsia" w:hAnsiTheme="minorEastAsia"/>
                <w:kern w:val="0"/>
                <w:szCs w:val="21"/>
                <w:lang w:bidi="zh-CN"/>
              </w:rPr>
              <w:t>6.支持与任何手术床连接</w:t>
            </w:r>
          </w:p>
        </w:tc>
        <w:tc>
          <w:tcPr>
            <w:tcW w:w="1965" w:type="dxa"/>
            <w:noWrap w:val="0"/>
            <w:vAlign w:val="center"/>
          </w:tcPr>
          <w:p>
            <w:pPr>
              <w:spacing w:line="360" w:lineRule="atLeast"/>
              <w:jc w:val="center"/>
              <w:rPr>
                <w:rFonts w:hint="eastAsia" w:ascii="宋体" w:hAnsi="宋体" w:cs="宋体"/>
                <w:b/>
                <w:bCs/>
                <w:color w:val="000000"/>
                <w:sz w:val="21"/>
                <w:szCs w:val="21"/>
              </w:rPr>
            </w:pPr>
            <w:r>
              <w:rPr>
                <w:rFonts w:hint="eastAsia" w:ascii="宋体" w:hAnsi="宋体" w:cs="宋体"/>
                <w:sz w:val="21"/>
                <w:szCs w:val="21"/>
                <w:lang w:val="en-US" w:eastAsia="zh-CN"/>
              </w:rPr>
              <w:t>/</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lang w:val="en-US" w:eastAsia="zh-CN"/>
              </w:rPr>
              <w:t>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restart"/>
            <w:noWrap/>
            <w:vAlign w:val="center"/>
          </w:tcPr>
          <w:p>
            <w:pPr>
              <w:pStyle w:val="156"/>
              <w:spacing w:line="360" w:lineRule="atLeast"/>
              <w:jc w:val="center"/>
              <w:rPr>
                <w:rFonts w:hint="eastAsia"/>
                <w:color w:val="000000"/>
              </w:rPr>
            </w:pPr>
            <w:r>
              <w:rPr>
                <w:rFonts w:hint="eastAsia"/>
                <w:color w:val="000000"/>
              </w:rPr>
              <w:t>三</w:t>
            </w:r>
          </w:p>
        </w:tc>
        <w:tc>
          <w:tcPr>
            <w:tcW w:w="1149" w:type="dxa"/>
            <w:vMerge w:val="restart"/>
            <w:noWrap w:val="0"/>
            <w:vAlign w:val="center"/>
          </w:tcPr>
          <w:p>
            <w:pPr>
              <w:pStyle w:val="156"/>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售后服务</w:t>
            </w:r>
          </w:p>
        </w:tc>
        <w:tc>
          <w:tcPr>
            <w:tcW w:w="5998" w:type="dxa"/>
            <w:gridSpan w:val="2"/>
            <w:noWrap w:val="0"/>
            <w:vAlign w:val="center"/>
          </w:tcPr>
          <w:p>
            <w:pPr>
              <w:spacing w:line="360" w:lineRule="atLeast"/>
              <w:ind w:left="0" w:leftChars="0" w:firstLine="0" w:firstLineChars="0"/>
              <w:rPr>
                <w:rFonts w:hint="eastAsia" w:ascii="宋体" w:hAnsi="宋体" w:cs="宋体"/>
                <w:color w:val="000000"/>
                <w:sz w:val="21"/>
                <w:szCs w:val="21"/>
              </w:rPr>
            </w:pPr>
            <w:r>
              <w:rPr>
                <w:rFonts w:hint="eastAsia"/>
                <w:color w:val="000000"/>
              </w:rPr>
              <w:t>1</w:t>
            </w:r>
            <w:r>
              <w:rPr>
                <w:color w:val="000000"/>
              </w:rPr>
              <w:t>.</w:t>
            </w:r>
            <w:r>
              <w:rPr>
                <w:rFonts w:hint="eastAsia"/>
                <w:color w:val="000000"/>
              </w:rPr>
              <w:t>免费保修期：在满足谈判文件要求的基础上，每增加6个月得0.5分，最多得3分，不符合谈判文件要求按无效报价处理。（未履行保修承诺的，相关企业将列入黑名单。）</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6"/>
              <w:spacing w:line="360" w:lineRule="atLeast"/>
              <w:jc w:val="center"/>
              <w:rPr>
                <w:color w:val="000000"/>
              </w:rPr>
            </w:pPr>
          </w:p>
        </w:tc>
        <w:tc>
          <w:tcPr>
            <w:tcW w:w="1149" w:type="dxa"/>
            <w:vMerge w:val="continue"/>
            <w:noWrap w:val="0"/>
            <w:vAlign w:val="center"/>
          </w:tcPr>
          <w:p>
            <w:pPr>
              <w:pStyle w:val="156"/>
              <w:spacing w:line="360" w:lineRule="atLeast"/>
              <w:jc w:val="center"/>
              <w:rPr>
                <w:rFonts w:hint="eastAsia" w:ascii="宋体" w:hAnsi="宋体" w:cs="宋体"/>
                <w:color w:val="000000"/>
                <w:sz w:val="21"/>
                <w:szCs w:val="21"/>
              </w:rPr>
            </w:pPr>
          </w:p>
        </w:tc>
        <w:tc>
          <w:tcPr>
            <w:tcW w:w="5998" w:type="dxa"/>
            <w:gridSpan w:val="2"/>
            <w:noWrap w:val="0"/>
            <w:vAlign w:val="center"/>
          </w:tcPr>
          <w:p>
            <w:pPr>
              <w:spacing w:line="360" w:lineRule="atLeast"/>
              <w:ind w:left="0" w:leftChars="0" w:firstLine="0" w:firstLineChars="0"/>
              <w:rPr>
                <w:rFonts w:hint="eastAsia" w:ascii="宋体" w:hAnsi="宋体" w:cs="宋体"/>
                <w:color w:val="000000"/>
                <w:sz w:val="21"/>
                <w:szCs w:val="21"/>
              </w:rPr>
            </w:pPr>
            <w:r>
              <w:rPr>
                <w:rFonts w:hint="eastAsia"/>
                <w:color w:val="000000"/>
              </w:rPr>
              <w:t>2.零配件支持：提供零配件全国统一报价，报价方更换配件价格不超过统一报价的70%。在满足此要求的基础上，根据主要零配件价格排名，报价最低的得2分，其余排名依次按25%递减，最低得0分。三分之二及以上技术专家认为报价不合理的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6"/>
              <w:spacing w:line="360" w:lineRule="atLeast"/>
              <w:jc w:val="center"/>
              <w:rPr>
                <w:color w:val="000000"/>
              </w:rPr>
            </w:pPr>
          </w:p>
        </w:tc>
        <w:tc>
          <w:tcPr>
            <w:tcW w:w="1149" w:type="dxa"/>
            <w:vMerge w:val="continue"/>
            <w:noWrap w:val="0"/>
            <w:vAlign w:val="center"/>
          </w:tcPr>
          <w:p>
            <w:pPr>
              <w:pStyle w:val="156"/>
              <w:spacing w:line="360" w:lineRule="atLeast"/>
              <w:jc w:val="center"/>
              <w:rPr>
                <w:rFonts w:hint="eastAsia" w:ascii="宋体" w:hAnsi="宋体" w:cs="宋体"/>
                <w:color w:val="000000"/>
                <w:sz w:val="21"/>
                <w:szCs w:val="21"/>
              </w:rPr>
            </w:pPr>
          </w:p>
        </w:tc>
        <w:tc>
          <w:tcPr>
            <w:tcW w:w="5998" w:type="dxa"/>
            <w:gridSpan w:val="2"/>
            <w:noWrap w:val="0"/>
            <w:vAlign w:val="center"/>
          </w:tcPr>
          <w:p>
            <w:pPr>
              <w:spacing w:line="360" w:lineRule="atLeast"/>
              <w:ind w:left="0" w:leftChars="0" w:firstLine="0" w:firstLineChars="0"/>
              <w:rPr>
                <w:rFonts w:hint="eastAsia" w:ascii="宋体" w:hAnsi="宋体" w:cs="宋体"/>
                <w:color w:val="000000"/>
                <w:sz w:val="21"/>
                <w:szCs w:val="21"/>
              </w:rPr>
            </w:pPr>
            <w:r>
              <w:rPr>
                <w:rFonts w:hint="eastAsia"/>
                <w:color w:val="000000"/>
              </w:rPr>
              <w:t>3.零配件保证供应时间：按照报价产品制造商承诺的零配件保证供应时间长短排名，时间最长的得1分，依次递减0.2分，最低得0分。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6"/>
              <w:spacing w:line="360" w:lineRule="atLeast"/>
              <w:jc w:val="center"/>
              <w:rPr>
                <w:color w:val="000000"/>
              </w:rPr>
            </w:pPr>
          </w:p>
        </w:tc>
        <w:tc>
          <w:tcPr>
            <w:tcW w:w="1149" w:type="dxa"/>
            <w:vMerge w:val="continue"/>
            <w:noWrap w:val="0"/>
            <w:vAlign w:val="center"/>
          </w:tcPr>
          <w:p>
            <w:pPr>
              <w:pStyle w:val="156"/>
              <w:spacing w:line="360" w:lineRule="atLeast"/>
              <w:jc w:val="center"/>
              <w:rPr>
                <w:rFonts w:hint="eastAsia" w:ascii="宋体" w:hAnsi="宋体" w:cs="宋体"/>
                <w:color w:val="000000"/>
                <w:sz w:val="21"/>
                <w:szCs w:val="21"/>
              </w:rPr>
            </w:pPr>
          </w:p>
        </w:tc>
        <w:tc>
          <w:tcPr>
            <w:tcW w:w="5998" w:type="dxa"/>
            <w:gridSpan w:val="2"/>
            <w:noWrap w:val="0"/>
            <w:vAlign w:val="center"/>
          </w:tcPr>
          <w:p>
            <w:pPr>
              <w:spacing w:line="360" w:lineRule="atLeast"/>
              <w:ind w:left="0" w:leftChars="0" w:firstLine="0" w:firstLineChars="0"/>
              <w:rPr>
                <w:rFonts w:hint="eastAsia" w:ascii="宋体" w:hAnsi="宋体" w:cs="宋体"/>
                <w:color w:val="000000"/>
                <w:sz w:val="21"/>
                <w:szCs w:val="21"/>
                <w:highlight w:val="none"/>
              </w:rPr>
            </w:pPr>
            <w:r>
              <w:rPr>
                <w:rFonts w:hint="eastAsia"/>
                <w:color w:val="000000"/>
              </w:rPr>
              <w:t>4.到位维修响应：满足谈判文件“第二部分”——</w:t>
            </w:r>
            <w:r>
              <w:rPr>
                <w:rFonts w:hint="eastAsia"/>
                <w:color w:val="000000"/>
                <w:sz w:val="20"/>
                <w:szCs w:val="20"/>
              </w:rPr>
              <w:t>“二、商务要求”——“二、售后服务”的第5条</w:t>
            </w:r>
            <w:r>
              <w:rPr>
                <w:rFonts w:hint="eastAsia"/>
                <w:color w:val="000000"/>
              </w:rPr>
              <w:t>要求的基础上，根据对维修所投产品的到位维修响应时间排名，三分之二及以上技术专家认为合理且最快的得1分，依次按25%比例递减，最低得0分。三分之二及以上技术专家认为不合理的得0分。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6"/>
              <w:spacing w:line="360" w:lineRule="atLeast"/>
              <w:jc w:val="center"/>
              <w:rPr>
                <w:color w:val="000000"/>
              </w:rPr>
            </w:pPr>
          </w:p>
        </w:tc>
        <w:tc>
          <w:tcPr>
            <w:tcW w:w="1149" w:type="dxa"/>
            <w:vMerge w:val="continue"/>
            <w:noWrap w:val="0"/>
            <w:vAlign w:val="center"/>
          </w:tcPr>
          <w:p>
            <w:pPr>
              <w:pStyle w:val="156"/>
              <w:spacing w:line="360" w:lineRule="atLeast"/>
              <w:jc w:val="center"/>
              <w:rPr>
                <w:rFonts w:hint="eastAsia" w:ascii="宋体" w:hAnsi="宋体" w:cs="宋体"/>
                <w:color w:val="000000"/>
                <w:sz w:val="21"/>
                <w:szCs w:val="21"/>
              </w:rPr>
            </w:pPr>
          </w:p>
        </w:tc>
        <w:tc>
          <w:tcPr>
            <w:tcW w:w="5998" w:type="dxa"/>
            <w:gridSpan w:val="2"/>
            <w:noWrap/>
            <w:vAlign w:val="center"/>
          </w:tcPr>
          <w:p>
            <w:pPr>
              <w:spacing w:line="360" w:lineRule="atLeast"/>
              <w:ind w:left="0" w:leftChars="0" w:firstLine="0" w:firstLineChars="0"/>
              <w:rPr>
                <w:rFonts w:hint="eastAsia" w:ascii="宋体" w:hAnsi="宋体" w:cs="宋体"/>
                <w:color w:val="000000"/>
                <w:sz w:val="21"/>
                <w:szCs w:val="21"/>
                <w:highlight w:val="none"/>
              </w:rPr>
            </w:pPr>
            <w:r>
              <w:rPr>
                <w:rFonts w:hint="eastAsia" w:eastAsia="宋体"/>
                <w:color w:val="000000"/>
              </w:rPr>
              <w:t>5.保修期外维修费用：保修期外的包修费用及维修工时费计算方法及价格，按报价方自报价格进行排名，费用最低的得1分，依次按25%递减，最低得0分。未提供得0分。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3" w:hRule="atLeast"/>
          <w:jc w:val="center"/>
        </w:trPr>
        <w:tc>
          <w:tcPr>
            <w:tcW w:w="678" w:type="dxa"/>
            <w:vMerge w:val="continue"/>
            <w:noWrap/>
            <w:vAlign w:val="center"/>
          </w:tcPr>
          <w:p>
            <w:pPr>
              <w:pStyle w:val="156"/>
              <w:spacing w:line="360" w:lineRule="atLeast"/>
              <w:jc w:val="center"/>
              <w:rPr>
                <w:color w:val="000000"/>
              </w:rPr>
            </w:pPr>
          </w:p>
        </w:tc>
        <w:tc>
          <w:tcPr>
            <w:tcW w:w="1149" w:type="dxa"/>
            <w:vMerge w:val="continue"/>
            <w:noWrap w:val="0"/>
            <w:vAlign w:val="center"/>
          </w:tcPr>
          <w:p>
            <w:pPr>
              <w:pStyle w:val="156"/>
              <w:spacing w:line="360" w:lineRule="atLeast"/>
              <w:jc w:val="center"/>
              <w:rPr>
                <w:rFonts w:hint="eastAsia" w:ascii="宋体" w:hAnsi="宋体" w:cs="宋体"/>
                <w:color w:val="000000"/>
                <w:sz w:val="21"/>
                <w:szCs w:val="21"/>
              </w:rPr>
            </w:pPr>
          </w:p>
        </w:tc>
        <w:tc>
          <w:tcPr>
            <w:tcW w:w="5998" w:type="dxa"/>
            <w:gridSpan w:val="2"/>
            <w:noWrap/>
            <w:vAlign w:val="center"/>
          </w:tcPr>
          <w:p>
            <w:pPr>
              <w:spacing w:line="360" w:lineRule="atLeast"/>
              <w:ind w:left="0" w:leftChars="0" w:firstLine="0" w:firstLineChars="0"/>
              <w:rPr>
                <w:rFonts w:hint="eastAsia" w:eastAsia="宋体"/>
                <w:color w:val="000000"/>
              </w:rPr>
            </w:pPr>
            <w:r>
              <w:rPr>
                <w:rFonts w:hint="eastAsia" w:eastAsia="宋体"/>
                <w:color w:val="000000"/>
              </w:rPr>
              <w:t>6.技术支持和服务网点：</w:t>
            </w:r>
          </w:p>
          <w:p>
            <w:pPr>
              <w:spacing w:line="360" w:lineRule="atLeast"/>
              <w:ind w:left="0" w:leftChars="0" w:firstLine="0" w:firstLineChars="0"/>
              <w:rPr>
                <w:rFonts w:hint="eastAsia" w:eastAsia="宋体"/>
                <w:color w:val="000000"/>
              </w:rPr>
            </w:pPr>
            <w:r>
              <w:rPr>
                <w:rFonts w:hint="eastAsia" w:eastAsia="宋体"/>
                <w:color w:val="000000"/>
              </w:rPr>
              <w:t>（1）产品和品牌具有较高知名度及广泛普及度，提供指定地点的现场服务支持，具备全国各主要省份的售后服务网络和对应的24小时服务支持热线且技术力量能满足报价方维修服务需求的得1分，不满足得0分；</w:t>
            </w:r>
          </w:p>
          <w:p>
            <w:pPr>
              <w:spacing w:line="360" w:lineRule="atLeast"/>
              <w:ind w:left="0" w:leftChars="0" w:firstLine="0" w:firstLineChars="0"/>
              <w:rPr>
                <w:rFonts w:hint="eastAsia" w:ascii="宋体" w:hAnsi="宋体" w:cs="宋体"/>
                <w:color w:val="000000"/>
                <w:sz w:val="21"/>
                <w:szCs w:val="21"/>
              </w:rPr>
            </w:pPr>
            <w:r>
              <w:rPr>
                <w:rFonts w:hint="eastAsia" w:eastAsia="宋体"/>
                <w:color w:val="000000"/>
              </w:rPr>
              <w:t>（2）根据服务网点数量排名，第一名得1分，依次按标准分值25%递减，最低得0分。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678" w:type="dxa"/>
            <w:noWrap/>
            <w:vAlign w:val="center"/>
          </w:tcPr>
          <w:p>
            <w:pPr>
              <w:pStyle w:val="156"/>
              <w:spacing w:line="360" w:lineRule="atLeast"/>
              <w:jc w:val="center"/>
              <w:rPr>
                <w:color w:val="000000"/>
              </w:rPr>
            </w:pPr>
          </w:p>
        </w:tc>
        <w:tc>
          <w:tcPr>
            <w:tcW w:w="1149" w:type="dxa"/>
            <w:noWrap w:val="0"/>
            <w:vAlign w:val="center"/>
          </w:tcPr>
          <w:p>
            <w:pPr>
              <w:pStyle w:val="156"/>
              <w:spacing w:line="360" w:lineRule="atLeast"/>
              <w:jc w:val="center"/>
              <w:rPr>
                <w:rFonts w:hint="eastAsia" w:ascii="宋体" w:hAnsi="宋体" w:cs="宋体"/>
                <w:color w:val="000000"/>
                <w:sz w:val="21"/>
                <w:szCs w:val="21"/>
              </w:rPr>
            </w:pPr>
          </w:p>
        </w:tc>
        <w:tc>
          <w:tcPr>
            <w:tcW w:w="5998" w:type="dxa"/>
            <w:gridSpan w:val="2"/>
            <w:noWrap/>
            <w:vAlign w:val="center"/>
          </w:tcPr>
          <w:p>
            <w:pPr>
              <w:spacing w:line="360" w:lineRule="atLeast"/>
              <w:ind w:left="0" w:leftChars="0" w:firstLine="0" w:firstLineChars="0"/>
              <w:rPr>
                <w:rFonts w:hint="eastAsia" w:eastAsia="宋体"/>
                <w:color w:val="000000"/>
              </w:rPr>
            </w:pPr>
            <w:r>
              <w:rPr>
                <w:rFonts w:hint="eastAsia" w:eastAsia="宋体"/>
                <w:color w:val="000000"/>
                <w:lang w:val="en-US" w:eastAsia="zh-CN"/>
              </w:rPr>
              <w:t>7.</w:t>
            </w:r>
            <w:r>
              <w:rPr>
                <w:rFonts w:hint="eastAsia" w:eastAsia="宋体"/>
                <w:color w:val="000000"/>
              </w:rPr>
              <w:t>近三年（截止报价文件递交时间）企业售后服务未满足用户要求、未按承诺履行义务、被投诉的，每次得-1分。</w:t>
            </w:r>
          </w:p>
          <w:p>
            <w:pPr>
              <w:spacing w:line="360" w:lineRule="atLeast"/>
              <w:ind w:left="0" w:leftChars="0" w:firstLine="0" w:firstLineChars="0"/>
              <w:rPr>
                <w:rFonts w:hint="eastAsia" w:ascii="宋体" w:hAnsi="宋体" w:cs="宋体"/>
                <w:sz w:val="21"/>
                <w:szCs w:val="21"/>
              </w:rPr>
            </w:pPr>
            <w:r>
              <w:rPr>
                <w:rFonts w:hint="eastAsia" w:eastAsia="宋体"/>
                <w:color w:val="000000"/>
              </w:rPr>
              <w:t>（需求部门或采购机构向采购管理部门提供违规供应商名单）</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扣分条款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25" w:type="dxa"/>
            <w:gridSpan w:val="4"/>
            <w:noWrap/>
            <w:vAlign w:val="center"/>
          </w:tcPr>
          <w:p>
            <w:pPr>
              <w:pStyle w:val="156"/>
              <w:spacing w:line="360" w:lineRule="atLeast"/>
              <w:jc w:val="center"/>
              <w:rPr>
                <w:color w:val="000000"/>
              </w:rPr>
            </w:pPr>
            <w:r>
              <w:rPr>
                <w:rFonts w:hint="eastAsia"/>
                <w:b/>
                <w:bCs/>
                <w:color w:val="000000"/>
              </w:rPr>
              <w:t>合    计</w:t>
            </w:r>
          </w:p>
        </w:tc>
        <w:tc>
          <w:tcPr>
            <w:tcW w:w="1389" w:type="dxa"/>
            <w:noWrap/>
            <w:vAlign w:val="center"/>
          </w:tcPr>
          <w:p>
            <w:pPr>
              <w:pStyle w:val="156"/>
              <w:spacing w:line="360" w:lineRule="atLeast"/>
              <w:jc w:val="center"/>
              <w:rPr>
                <w:color w:val="000000"/>
              </w:rPr>
            </w:pPr>
            <w:r>
              <w:rPr>
                <w:rFonts w:hint="eastAsia"/>
                <w:color w:val="000000"/>
              </w:rPr>
              <w:t>60分</w:t>
            </w:r>
          </w:p>
        </w:tc>
      </w:tr>
    </w:tbl>
    <w:p>
      <w:pPr>
        <w:pStyle w:val="17"/>
      </w:pPr>
    </w:p>
    <w:p>
      <w:pPr>
        <w:pStyle w:val="17"/>
      </w:pPr>
    </w:p>
    <w:p>
      <w:pPr>
        <w:rPr>
          <w:sz w:val="28"/>
          <w:szCs w:val="28"/>
        </w:rPr>
      </w:pPr>
    </w:p>
    <w:p>
      <w:pPr>
        <w:pStyle w:val="17"/>
        <w:rPr>
          <w:sz w:val="28"/>
          <w:szCs w:val="28"/>
        </w:rPr>
      </w:pPr>
    </w:p>
    <w:p>
      <w:pPr>
        <w:sectPr>
          <w:headerReference r:id="rId22" w:type="default"/>
          <w:footerReference r:id="rId23" w:type="default"/>
          <w:pgSz w:w="11906" w:h="16838"/>
          <w:pgMar w:top="1418" w:right="1134" w:bottom="1418" w:left="1418" w:header="851" w:footer="851" w:gutter="0"/>
          <w:pgNumType w:fmt="numberInDash"/>
          <w:cols w:space="720" w:num="1"/>
          <w:docGrid w:linePitch="388" w:charSpace="-1260"/>
        </w:sectPr>
      </w:pPr>
    </w:p>
    <w:p>
      <w:pPr>
        <w:pStyle w:val="3"/>
        <w:keepNext/>
        <w:keepLines/>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outlineLvl w:val="1"/>
        <w:rPr>
          <w:rFonts w:hint="eastAsia" w:ascii="Arial" w:hAnsi="Arial" w:eastAsia="方正小标宋简体" w:cs="Times New Roman"/>
          <w:b w:val="0"/>
          <w:bCs/>
          <w:kern w:val="2"/>
          <w:sz w:val="44"/>
          <w:szCs w:val="44"/>
          <w:lang w:val="en-US" w:eastAsia="zh-CN" w:bidi="ar-SA"/>
        </w:rPr>
      </w:pPr>
      <w:bookmarkStart w:id="803" w:name="_Toc23790"/>
      <w:bookmarkStart w:id="804" w:name="_Toc10741"/>
      <w:bookmarkStart w:id="805" w:name="_Toc27712"/>
      <w:bookmarkStart w:id="806" w:name="_Toc23267"/>
      <w:bookmarkStart w:id="807" w:name="_Toc23881"/>
      <w:bookmarkStart w:id="808" w:name="_Toc10729"/>
      <w:bookmarkStart w:id="809" w:name="_Toc31255"/>
      <w:r>
        <w:rPr>
          <w:rFonts w:hint="eastAsia" w:ascii="Arial" w:hAnsi="Arial" w:eastAsia="方正小标宋简体" w:cs="Times New Roman"/>
          <w:b w:val="0"/>
          <w:bCs/>
          <w:kern w:val="2"/>
          <w:sz w:val="44"/>
          <w:szCs w:val="44"/>
          <w:lang w:val="en-US" w:eastAsia="zh-CN" w:bidi="ar-SA"/>
        </w:rPr>
        <w:t xml:space="preserve">第八章  </w:t>
      </w:r>
      <w:r>
        <w:rPr>
          <w:rFonts w:hint="eastAsia" w:cs="Times New Roman"/>
          <w:b w:val="0"/>
          <w:bCs/>
          <w:kern w:val="2"/>
          <w:sz w:val="44"/>
          <w:szCs w:val="44"/>
          <w:lang w:val="en-US" w:eastAsia="zh-CN" w:bidi="ar-SA"/>
        </w:rPr>
        <w:t>报价</w:t>
      </w:r>
      <w:r>
        <w:rPr>
          <w:rFonts w:hint="eastAsia" w:ascii="Arial" w:hAnsi="Arial" w:eastAsia="方正小标宋简体" w:cs="Times New Roman"/>
          <w:b w:val="0"/>
          <w:bCs/>
          <w:kern w:val="2"/>
          <w:sz w:val="44"/>
          <w:szCs w:val="44"/>
          <w:lang w:val="en-US" w:eastAsia="zh-CN" w:bidi="ar-SA"/>
        </w:rPr>
        <w:t>文件内容及格式</w:t>
      </w:r>
      <w:bookmarkEnd w:id="803"/>
      <w:bookmarkEnd w:id="804"/>
      <w:bookmarkEnd w:id="805"/>
      <w:bookmarkEnd w:id="806"/>
      <w:bookmarkEnd w:id="807"/>
      <w:bookmarkEnd w:id="808"/>
      <w:bookmarkEnd w:id="809"/>
    </w:p>
    <w:p>
      <w:pPr>
        <w:ind w:firstLine="880"/>
        <w:jc w:val="center"/>
        <w:rPr>
          <w:rFonts w:hint="eastAsia" w:eastAsia="方正小标宋简体"/>
          <w:sz w:val="36"/>
          <w:szCs w:val="36"/>
        </w:rPr>
      </w:pPr>
    </w:p>
    <w:p>
      <w:pPr>
        <w:spacing w:line="560" w:lineRule="exact"/>
        <w:ind w:firstLine="560" w:firstLineChars="200"/>
        <w:rPr>
          <w:sz w:val="28"/>
          <w:szCs w:val="28"/>
        </w:rPr>
      </w:pPr>
      <w:r>
        <w:rPr>
          <w:rFonts w:hint="eastAsia"/>
          <w:sz w:val="28"/>
          <w:szCs w:val="28"/>
          <w:lang w:eastAsia="zh-CN"/>
        </w:rPr>
        <w:t>报价</w:t>
      </w:r>
      <w:r>
        <w:rPr>
          <w:rFonts w:hint="eastAsia"/>
          <w:sz w:val="28"/>
          <w:szCs w:val="28"/>
        </w:rPr>
        <w:t>文件分为《价格文件》、《</w:t>
      </w:r>
      <w:r>
        <w:rPr>
          <w:rFonts w:hint="eastAsia"/>
          <w:sz w:val="28"/>
          <w:szCs w:val="28"/>
          <w:lang w:eastAsia="zh-CN"/>
        </w:rPr>
        <w:t>商务技术文件</w:t>
      </w:r>
      <w:r>
        <w:rPr>
          <w:rFonts w:hint="eastAsia"/>
          <w:sz w:val="28"/>
          <w:szCs w:val="28"/>
        </w:rPr>
        <w:t>》和《资格证明文件》，</w:t>
      </w:r>
      <w:r>
        <w:rPr>
          <w:rFonts w:hint="eastAsia"/>
          <w:b/>
          <w:sz w:val="28"/>
          <w:szCs w:val="28"/>
        </w:rPr>
        <w:t>包括但不限于以下组成内容</w:t>
      </w:r>
      <w:r>
        <w:rPr>
          <w:rFonts w:hint="eastAsia"/>
          <w:sz w:val="28"/>
          <w:szCs w:val="28"/>
        </w:rPr>
        <w:t>，本部分有提供格式文件的请按格式要求制作。</w:t>
      </w:r>
    </w:p>
    <w:p>
      <w:pPr>
        <w:spacing w:line="560" w:lineRule="exact"/>
        <w:ind w:firstLine="560" w:firstLineChars="200"/>
        <w:rPr>
          <w:rFonts w:hint="eastAsia"/>
          <w:sz w:val="28"/>
          <w:szCs w:val="28"/>
        </w:rPr>
      </w:pPr>
      <w:r>
        <w:rPr>
          <w:rFonts w:hint="eastAsia"/>
          <w:sz w:val="28"/>
          <w:szCs w:val="28"/>
          <w:lang w:eastAsia="zh-CN"/>
        </w:rPr>
        <w:t>报价</w:t>
      </w:r>
      <w:r>
        <w:rPr>
          <w:rFonts w:hint="eastAsia"/>
          <w:sz w:val="28"/>
          <w:szCs w:val="28"/>
        </w:rPr>
        <w:t>文件提供资料尽可能详细，对照《资格性</w:t>
      </w:r>
      <w:r>
        <w:rPr>
          <w:rFonts w:hint="eastAsia"/>
          <w:sz w:val="28"/>
          <w:szCs w:val="28"/>
          <w:lang w:eastAsia="zh-CN"/>
        </w:rPr>
        <w:t>审查表》</w:t>
      </w:r>
      <w:r>
        <w:rPr>
          <w:rFonts w:hint="eastAsia"/>
          <w:sz w:val="28"/>
          <w:szCs w:val="28"/>
        </w:rPr>
        <w:t>和《符合性审查表》、《商务技术评审表》制作</w:t>
      </w:r>
      <w:r>
        <w:rPr>
          <w:rFonts w:hint="eastAsia"/>
          <w:sz w:val="28"/>
          <w:szCs w:val="28"/>
          <w:lang w:eastAsia="zh-CN"/>
        </w:rPr>
        <w:t>报价</w:t>
      </w:r>
      <w:r>
        <w:rPr>
          <w:rFonts w:hint="eastAsia"/>
          <w:sz w:val="28"/>
          <w:szCs w:val="28"/>
        </w:rPr>
        <w:t>文件。</w:t>
      </w:r>
    </w:p>
    <w:p>
      <w:pPr>
        <w:spacing w:line="560" w:lineRule="exact"/>
        <w:ind w:left="560"/>
        <w:rPr>
          <w:sz w:val="28"/>
          <w:szCs w:val="28"/>
        </w:rPr>
      </w:pPr>
      <w:r>
        <w:rPr>
          <w:rFonts w:ascii="宋体" w:hAnsi="宋体"/>
          <w:sz w:val="28"/>
          <w:szCs w:val="28"/>
          <w:lang w:val="zh-CN"/>
        </w:rPr>
        <w:t>★</w:t>
      </w:r>
      <w:r>
        <w:rPr>
          <w:rFonts w:hint="eastAsia"/>
          <w:sz w:val="28"/>
          <w:szCs w:val="28"/>
          <w:lang w:eastAsia="zh-CN"/>
        </w:rPr>
        <w:t>报价</w:t>
      </w:r>
      <w:r>
        <w:rPr>
          <w:sz w:val="28"/>
          <w:szCs w:val="28"/>
        </w:rPr>
        <w:t>文件的格式规定和签署</w:t>
      </w:r>
    </w:p>
    <w:p>
      <w:pPr>
        <w:spacing w:line="560" w:lineRule="exact"/>
        <w:ind w:left="420" w:leftChars="200"/>
        <w:rPr>
          <w:rFonts w:ascii="宋体" w:hAnsi="宋体"/>
          <w:sz w:val="28"/>
          <w:szCs w:val="28"/>
        </w:rPr>
      </w:pPr>
      <w:r>
        <w:rPr>
          <w:rFonts w:hint="eastAsia" w:ascii="宋体" w:hAnsi="宋体"/>
          <w:sz w:val="28"/>
          <w:szCs w:val="28"/>
        </w:rPr>
        <w:t>1.</w:t>
      </w:r>
      <w:r>
        <w:rPr>
          <w:rFonts w:hint="eastAsia"/>
          <w:sz w:val="28"/>
          <w:szCs w:val="28"/>
          <w:lang w:eastAsia="zh-CN"/>
        </w:rPr>
        <w:t>报价</w:t>
      </w:r>
      <w:r>
        <w:rPr>
          <w:rFonts w:ascii="宋体" w:hAnsi="宋体"/>
          <w:sz w:val="28"/>
          <w:szCs w:val="28"/>
        </w:rPr>
        <w:t>文件必须工整、规范、统一、清晰，</w:t>
      </w:r>
      <w:r>
        <w:rPr>
          <w:rFonts w:hint="eastAsia"/>
          <w:sz w:val="28"/>
          <w:szCs w:val="28"/>
          <w:lang w:eastAsia="zh-CN"/>
        </w:rPr>
        <w:t>商务技术文件</w:t>
      </w:r>
      <w:r>
        <w:rPr>
          <w:rFonts w:hint="eastAsia" w:ascii="宋体" w:hAnsi="宋体"/>
          <w:sz w:val="28"/>
          <w:szCs w:val="28"/>
        </w:rPr>
        <w:t>和资格证明文件</w:t>
      </w:r>
      <w:r>
        <w:rPr>
          <w:rFonts w:ascii="宋体" w:hAnsi="宋体"/>
          <w:sz w:val="28"/>
          <w:szCs w:val="28"/>
        </w:rPr>
        <w:t>采用A4幅面纸胶装成册</w:t>
      </w:r>
      <w:r>
        <w:rPr>
          <w:rFonts w:hint="eastAsia" w:ascii="宋体" w:hAnsi="宋体"/>
          <w:sz w:val="28"/>
          <w:szCs w:val="28"/>
        </w:rPr>
        <w:t>，页面不可抽取，不得有活动页</w:t>
      </w:r>
      <w:r>
        <w:rPr>
          <w:rFonts w:ascii="宋体" w:hAnsi="宋体"/>
          <w:sz w:val="28"/>
          <w:szCs w:val="28"/>
        </w:rPr>
        <w:t>。</w:t>
      </w:r>
    </w:p>
    <w:p>
      <w:pPr>
        <w:spacing w:line="560" w:lineRule="exact"/>
        <w:ind w:left="420" w:leftChars="200"/>
        <w:rPr>
          <w:rFonts w:ascii="宋体" w:hAnsi="宋体"/>
          <w:sz w:val="28"/>
          <w:szCs w:val="28"/>
        </w:rPr>
      </w:pPr>
      <w:r>
        <w:rPr>
          <w:rFonts w:hint="eastAsia" w:ascii="宋体" w:hAnsi="宋体"/>
          <w:sz w:val="28"/>
          <w:szCs w:val="28"/>
        </w:rPr>
        <w:t>2.</w:t>
      </w:r>
      <w:r>
        <w:rPr>
          <w:rFonts w:hint="eastAsia"/>
          <w:sz w:val="28"/>
          <w:szCs w:val="28"/>
          <w:lang w:eastAsia="zh-CN"/>
        </w:rPr>
        <w:t>报价</w:t>
      </w:r>
      <w:r>
        <w:rPr>
          <w:rFonts w:ascii="宋体" w:hAnsi="宋体"/>
          <w:sz w:val="28"/>
          <w:szCs w:val="28"/>
        </w:rPr>
        <w:t>文件必须打印或用黑色、蓝黑色墨水填写。</w:t>
      </w:r>
    </w:p>
    <w:p>
      <w:pPr>
        <w:spacing w:line="560" w:lineRule="exact"/>
        <w:ind w:left="420" w:leftChars="200"/>
        <w:rPr>
          <w:rFonts w:ascii="宋体" w:hAnsi="宋体"/>
          <w:sz w:val="28"/>
          <w:szCs w:val="28"/>
        </w:rPr>
      </w:pPr>
      <w:r>
        <w:rPr>
          <w:rFonts w:hint="eastAsia" w:ascii="宋体" w:hAnsi="宋体"/>
          <w:sz w:val="28"/>
          <w:szCs w:val="28"/>
        </w:rPr>
        <w:t>3.</w:t>
      </w:r>
      <w:r>
        <w:rPr>
          <w:rFonts w:ascii="宋体" w:hAnsi="宋体"/>
          <w:sz w:val="28"/>
          <w:szCs w:val="28"/>
        </w:rPr>
        <w:t>开标一览表必须按照规定的格式填写，不得自行增减内容。</w:t>
      </w:r>
    </w:p>
    <w:p>
      <w:pPr>
        <w:spacing w:line="560" w:lineRule="exact"/>
        <w:ind w:left="420" w:leftChars="200"/>
        <w:rPr>
          <w:rFonts w:ascii="宋体" w:hAnsi="宋体"/>
          <w:sz w:val="28"/>
          <w:szCs w:val="28"/>
        </w:rPr>
      </w:pPr>
      <w:r>
        <w:rPr>
          <w:rFonts w:hint="eastAsia" w:ascii="宋体" w:hAnsi="宋体"/>
          <w:sz w:val="28"/>
          <w:szCs w:val="28"/>
        </w:rPr>
        <w:t>4.法定代表人授权书必须由法定代表人签字或盖签名章</w:t>
      </w:r>
      <w:r>
        <w:rPr>
          <w:rFonts w:hint="eastAsia" w:ascii="宋体" w:hAnsi="宋体"/>
          <w:sz w:val="28"/>
          <w:szCs w:val="28"/>
          <w:lang w:eastAsia="zh-CN"/>
        </w:rPr>
        <w:t>。</w:t>
      </w:r>
    </w:p>
    <w:p>
      <w:pPr>
        <w:spacing w:line="560" w:lineRule="exact"/>
        <w:ind w:left="420" w:leftChars="200"/>
        <w:rPr>
          <w:rFonts w:ascii="宋体" w:hAnsi="宋体"/>
          <w:sz w:val="28"/>
          <w:szCs w:val="28"/>
        </w:rPr>
      </w:pPr>
      <w:r>
        <w:rPr>
          <w:rFonts w:hint="eastAsia" w:ascii="宋体" w:hAnsi="宋体"/>
          <w:sz w:val="28"/>
          <w:szCs w:val="28"/>
        </w:rPr>
        <w:t>5.</w:t>
      </w:r>
      <w:r>
        <w:rPr>
          <w:rFonts w:hint="eastAsia"/>
          <w:sz w:val="28"/>
          <w:szCs w:val="28"/>
          <w:lang w:eastAsia="zh-CN"/>
        </w:rPr>
        <w:t>商务技术文件</w:t>
      </w:r>
      <w:r>
        <w:rPr>
          <w:rFonts w:hint="eastAsia" w:ascii="宋体" w:hAnsi="宋体"/>
          <w:sz w:val="28"/>
          <w:szCs w:val="28"/>
        </w:rPr>
        <w:t>和资格证明文件应当加盖骑缝章，</w:t>
      </w:r>
      <w:r>
        <w:rPr>
          <w:rFonts w:ascii="宋体" w:hAnsi="宋体"/>
          <w:sz w:val="28"/>
          <w:szCs w:val="28"/>
        </w:rPr>
        <w:t>不得随意涂改和增删</w:t>
      </w:r>
      <w:r>
        <w:rPr>
          <w:rFonts w:hint="eastAsia" w:ascii="宋体" w:hAnsi="宋体"/>
          <w:sz w:val="28"/>
          <w:szCs w:val="28"/>
        </w:rPr>
        <w:t>（资格证明文件和</w:t>
      </w:r>
      <w:r>
        <w:rPr>
          <w:rFonts w:hint="eastAsia" w:ascii="宋体" w:hAnsi="宋体"/>
          <w:sz w:val="28"/>
          <w:szCs w:val="28"/>
          <w:lang w:eastAsia="zh-CN"/>
        </w:rPr>
        <w:t>商务技术文件</w:t>
      </w:r>
      <w:r>
        <w:rPr>
          <w:rFonts w:hint="eastAsia" w:ascii="宋体" w:hAnsi="宋体"/>
          <w:sz w:val="28"/>
          <w:szCs w:val="28"/>
        </w:rPr>
        <w:t>每页均加盖公章的除外）</w:t>
      </w:r>
      <w:r>
        <w:rPr>
          <w:rFonts w:ascii="宋体" w:hAnsi="宋体"/>
          <w:sz w:val="28"/>
          <w:szCs w:val="28"/>
        </w:rPr>
        <w:t>。如有修改错漏之处，必须由法定代表人或授权代表签字、盖章。</w:t>
      </w:r>
    </w:p>
    <w:p>
      <w:pPr>
        <w:pStyle w:val="17"/>
        <w:rPr>
          <w:rFonts w:hint="eastAsia"/>
        </w:rPr>
      </w:pPr>
    </w:p>
    <w:p>
      <w:pPr>
        <w:spacing w:line="560" w:lineRule="exact"/>
        <w:ind w:firstLine="562" w:firstLineChars="200"/>
        <w:rPr>
          <w:rFonts w:hint="eastAsia"/>
          <w:b/>
          <w:bCs/>
          <w:sz w:val="28"/>
          <w:szCs w:val="28"/>
        </w:rPr>
      </w:pPr>
      <w:r>
        <w:rPr>
          <w:rFonts w:hint="eastAsia"/>
          <w:b/>
          <w:bCs/>
          <w:sz w:val="28"/>
          <w:szCs w:val="28"/>
        </w:rPr>
        <w:t>注意事项：</w:t>
      </w:r>
    </w:p>
    <w:p>
      <w:pPr>
        <w:spacing w:line="560" w:lineRule="exact"/>
        <w:ind w:firstLine="560" w:firstLineChars="200"/>
        <w:rPr>
          <w:rFonts w:hint="eastAsia"/>
          <w:sz w:val="28"/>
          <w:szCs w:val="28"/>
        </w:rPr>
      </w:pPr>
      <w:r>
        <w:rPr>
          <w:rFonts w:hint="eastAsia"/>
          <w:sz w:val="28"/>
          <w:szCs w:val="28"/>
        </w:rPr>
        <w:t>1.编制</w:t>
      </w:r>
      <w:r>
        <w:rPr>
          <w:rFonts w:hint="eastAsia"/>
          <w:sz w:val="28"/>
          <w:szCs w:val="28"/>
          <w:lang w:eastAsia="zh-CN"/>
        </w:rPr>
        <w:t>报价</w:t>
      </w:r>
      <w:r>
        <w:rPr>
          <w:rFonts w:hint="eastAsia"/>
          <w:sz w:val="28"/>
          <w:szCs w:val="28"/>
        </w:rPr>
        <w:t>文件前请详尽阅读</w:t>
      </w:r>
      <w:r>
        <w:rPr>
          <w:rFonts w:hint="eastAsia"/>
          <w:sz w:val="28"/>
          <w:szCs w:val="28"/>
          <w:lang w:eastAsia="zh-CN"/>
        </w:rPr>
        <w:t>谈判</w:t>
      </w:r>
      <w:r>
        <w:rPr>
          <w:rFonts w:hint="eastAsia"/>
          <w:sz w:val="28"/>
          <w:szCs w:val="28"/>
        </w:rPr>
        <w:t>文件</w:t>
      </w:r>
      <w:r>
        <w:rPr>
          <w:rFonts w:hint="eastAsia"/>
          <w:sz w:val="28"/>
          <w:szCs w:val="28"/>
          <w:lang w:eastAsia="zh-CN"/>
        </w:rPr>
        <w:t>报价</w:t>
      </w:r>
      <w:r>
        <w:rPr>
          <w:rFonts w:hint="eastAsia"/>
          <w:sz w:val="28"/>
          <w:szCs w:val="28"/>
        </w:rPr>
        <w:t>供应商须知前附表以及第</w:t>
      </w:r>
      <w:r>
        <w:rPr>
          <w:rFonts w:hint="eastAsia"/>
          <w:sz w:val="28"/>
          <w:szCs w:val="28"/>
          <w:lang w:eastAsia="zh-CN"/>
        </w:rPr>
        <w:t>一章</w:t>
      </w:r>
      <w:r>
        <w:rPr>
          <w:rFonts w:hint="eastAsia"/>
          <w:sz w:val="28"/>
          <w:szCs w:val="28"/>
        </w:rPr>
        <w:t>-</w:t>
      </w:r>
      <w:r>
        <w:rPr>
          <w:rFonts w:hint="eastAsia"/>
          <w:sz w:val="28"/>
          <w:szCs w:val="28"/>
          <w:lang w:eastAsia="zh-CN"/>
        </w:rPr>
        <w:t>报价</w:t>
      </w:r>
      <w:r>
        <w:rPr>
          <w:rFonts w:hint="eastAsia"/>
          <w:sz w:val="28"/>
          <w:szCs w:val="28"/>
        </w:rPr>
        <w:t>须知。</w:t>
      </w:r>
    </w:p>
    <w:p>
      <w:pPr>
        <w:spacing w:line="560" w:lineRule="exact"/>
        <w:ind w:firstLine="560" w:firstLineChars="200"/>
        <w:rPr>
          <w:rFonts w:hint="eastAsia"/>
          <w:sz w:val="28"/>
          <w:szCs w:val="28"/>
        </w:rPr>
      </w:pPr>
      <w:r>
        <w:rPr>
          <w:rFonts w:hint="eastAsia"/>
          <w:sz w:val="28"/>
          <w:szCs w:val="28"/>
        </w:rPr>
        <w:t>2.</w:t>
      </w:r>
      <w:r>
        <w:rPr>
          <w:rFonts w:hint="eastAsia"/>
          <w:sz w:val="28"/>
          <w:szCs w:val="28"/>
          <w:lang w:eastAsia="zh-CN"/>
        </w:rPr>
        <w:t>报价</w:t>
      </w:r>
      <w:r>
        <w:rPr>
          <w:rFonts w:hint="eastAsia"/>
          <w:sz w:val="28"/>
          <w:szCs w:val="28"/>
        </w:rPr>
        <w:t>文件应当工整、规范、统一、清晰，采用A4幅面纸胶装成册、标注页码。</w:t>
      </w:r>
    </w:p>
    <w:p>
      <w:pPr>
        <w:spacing w:line="560" w:lineRule="exact"/>
        <w:ind w:firstLine="560" w:firstLineChars="200"/>
        <w:rPr>
          <w:rFonts w:hint="eastAsia"/>
          <w:sz w:val="28"/>
          <w:szCs w:val="28"/>
        </w:rPr>
      </w:pPr>
      <w:r>
        <w:rPr>
          <w:rFonts w:hint="eastAsia"/>
          <w:sz w:val="28"/>
          <w:szCs w:val="28"/>
        </w:rPr>
        <w:t>3.</w:t>
      </w:r>
      <w:r>
        <w:rPr>
          <w:rFonts w:hint="eastAsia"/>
          <w:sz w:val="28"/>
          <w:szCs w:val="28"/>
          <w:lang w:eastAsia="zh-CN"/>
        </w:rPr>
        <w:t>报价</w:t>
      </w:r>
      <w:r>
        <w:rPr>
          <w:rFonts w:hint="eastAsia"/>
          <w:sz w:val="28"/>
          <w:szCs w:val="28"/>
        </w:rPr>
        <w:t>人应当按照</w:t>
      </w:r>
      <w:r>
        <w:rPr>
          <w:rFonts w:hint="eastAsia"/>
          <w:sz w:val="28"/>
          <w:szCs w:val="28"/>
          <w:lang w:eastAsia="zh-CN"/>
        </w:rPr>
        <w:t>谈判</w:t>
      </w:r>
      <w:r>
        <w:rPr>
          <w:rFonts w:hint="eastAsia"/>
          <w:sz w:val="28"/>
          <w:szCs w:val="28"/>
        </w:rPr>
        <w:t>文件规定的统一格式填写</w:t>
      </w:r>
      <w:r>
        <w:rPr>
          <w:rFonts w:hint="eastAsia"/>
          <w:sz w:val="28"/>
          <w:szCs w:val="28"/>
          <w:lang w:eastAsia="zh-CN"/>
        </w:rPr>
        <w:t>报价</w:t>
      </w:r>
      <w:r>
        <w:rPr>
          <w:rFonts w:hint="eastAsia"/>
          <w:sz w:val="28"/>
          <w:szCs w:val="28"/>
        </w:rPr>
        <w:t>文件，</w:t>
      </w:r>
      <w:r>
        <w:rPr>
          <w:rFonts w:hint="eastAsia"/>
          <w:sz w:val="28"/>
          <w:szCs w:val="28"/>
          <w:lang w:eastAsia="zh-CN"/>
        </w:rPr>
        <w:t>报价</w:t>
      </w:r>
      <w:r>
        <w:rPr>
          <w:rFonts w:hint="eastAsia"/>
          <w:sz w:val="28"/>
          <w:szCs w:val="28"/>
        </w:rPr>
        <w:t>文件开始部分应当有目录，以及方便评</w:t>
      </w:r>
      <w:r>
        <w:rPr>
          <w:rFonts w:hint="eastAsia"/>
          <w:sz w:val="28"/>
          <w:szCs w:val="28"/>
          <w:lang w:eastAsia="zh-CN"/>
        </w:rPr>
        <w:t>审</w:t>
      </w:r>
      <w:r>
        <w:rPr>
          <w:rFonts w:hint="eastAsia"/>
          <w:sz w:val="28"/>
          <w:szCs w:val="28"/>
        </w:rPr>
        <w:t>委员会评审使用的项目索引。</w:t>
      </w:r>
    </w:p>
    <w:p>
      <w:pPr>
        <w:spacing w:line="560" w:lineRule="exact"/>
        <w:ind w:firstLine="560" w:firstLineChars="200"/>
        <w:rPr>
          <w:rFonts w:hint="eastAsia"/>
          <w:sz w:val="28"/>
          <w:szCs w:val="28"/>
        </w:rPr>
      </w:pPr>
      <w:r>
        <w:rPr>
          <w:rFonts w:hint="eastAsia"/>
          <w:sz w:val="28"/>
          <w:szCs w:val="28"/>
        </w:rPr>
        <w:t>4.《价格文件》、《</w:t>
      </w:r>
      <w:r>
        <w:rPr>
          <w:rFonts w:hint="eastAsia"/>
          <w:sz w:val="28"/>
          <w:szCs w:val="28"/>
          <w:lang w:eastAsia="zh-CN"/>
        </w:rPr>
        <w:t>商务技术文件</w:t>
      </w:r>
      <w:r>
        <w:rPr>
          <w:rFonts w:hint="eastAsia"/>
          <w:sz w:val="28"/>
          <w:szCs w:val="28"/>
        </w:rPr>
        <w:t>》、《资格证明文件》须单独封装。《价格文件》、《</w:t>
      </w:r>
      <w:r>
        <w:rPr>
          <w:rFonts w:hint="eastAsia"/>
          <w:sz w:val="28"/>
          <w:szCs w:val="28"/>
          <w:lang w:eastAsia="zh-CN"/>
        </w:rPr>
        <w:t>商务技术文件</w:t>
      </w:r>
      <w:r>
        <w:rPr>
          <w:rFonts w:hint="eastAsia"/>
          <w:sz w:val="28"/>
          <w:szCs w:val="28"/>
        </w:rPr>
        <w:t>》、《资格证明文件》的封装袋加贴标签：项目名称+项目编号+《价格文件》/《</w:t>
      </w:r>
      <w:r>
        <w:rPr>
          <w:rFonts w:hint="eastAsia"/>
          <w:sz w:val="28"/>
          <w:szCs w:val="28"/>
          <w:lang w:eastAsia="zh-CN"/>
        </w:rPr>
        <w:t>商务技术文件</w:t>
      </w:r>
      <w:r>
        <w:rPr>
          <w:rFonts w:hint="eastAsia"/>
          <w:sz w:val="28"/>
          <w:szCs w:val="28"/>
        </w:rPr>
        <w:t>》/《资格证明文件》</w:t>
      </w:r>
    </w:p>
    <w:p>
      <w:pPr>
        <w:spacing w:line="560" w:lineRule="exact"/>
        <w:ind w:firstLine="560" w:firstLineChars="200"/>
        <w:rPr>
          <w:rFonts w:hint="eastAsia"/>
          <w:sz w:val="28"/>
          <w:szCs w:val="28"/>
        </w:rPr>
      </w:pPr>
      <w:r>
        <w:rPr>
          <w:rFonts w:hint="eastAsia"/>
          <w:sz w:val="28"/>
          <w:szCs w:val="28"/>
        </w:rPr>
        <w:t>其中：</w:t>
      </w:r>
    </w:p>
    <w:p>
      <w:pPr>
        <w:spacing w:line="560" w:lineRule="exact"/>
        <w:ind w:firstLine="560" w:firstLineChars="200"/>
        <w:rPr>
          <w:rFonts w:hint="eastAsia"/>
          <w:sz w:val="28"/>
          <w:szCs w:val="28"/>
        </w:rPr>
      </w:pPr>
      <w:r>
        <w:rPr>
          <w:rFonts w:hint="eastAsia"/>
          <w:sz w:val="28"/>
          <w:szCs w:val="28"/>
        </w:rPr>
        <w:t>（1）《价格文件》 ：一式</w:t>
      </w:r>
      <w:r>
        <w:rPr>
          <w:rFonts w:hint="eastAsia"/>
          <w:sz w:val="28"/>
          <w:szCs w:val="28"/>
          <w:u w:val="single"/>
        </w:rPr>
        <w:t xml:space="preserve">  3  </w:t>
      </w:r>
      <w:r>
        <w:rPr>
          <w:rFonts w:hint="eastAsia"/>
          <w:sz w:val="28"/>
          <w:szCs w:val="28"/>
        </w:rPr>
        <w:t xml:space="preserve">份，其中正本 </w:t>
      </w:r>
      <w:r>
        <w:rPr>
          <w:rFonts w:hint="eastAsia"/>
          <w:sz w:val="28"/>
          <w:szCs w:val="28"/>
          <w:u w:val="single"/>
        </w:rPr>
        <w:t xml:space="preserve"> 1  </w:t>
      </w:r>
      <w:r>
        <w:rPr>
          <w:rFonts w:hint="eastAsia"/>
          <w:sz w:val="28"/>
          <w:szCs w:val="28"/>
        </w:rPr>
        <w:t xml:space="preserve">份，副本 </w:t>
      </w:r>
      <w:r>
        <w:rPr>
          <w:rFonts w:hint="eastAsia"/>
          <w:sz w:val="28"/>
          <w:szCs w:val="28"/>
          <w:u w:val="single"/>
        </w:rPr>
        <w:t xml:space="preserve"> 2  </w:t>
      </w:r>
      <w:r>
        <w:rPr>
          <w:rFonts w:hint="eastAsia"/>
          <w:sz w:val="28"/>
          <w:szCs w:val="28"/>
        </w:rPr>
        <w:t>份；</w:t>
      </w:r>
    </w:p>
    <w:p>
      <w:pPr>
        <w:spacing w:line="560" w:lineRule="exact"/>
        <w:ind w:firstLine="560" w:firstLineChars="200"/>
        <w:rPr>
          <w:rFonts w:hint="eastAsia"/>
          <w:sz w:val="28"/>
          <w:szCs w:val="28"/>
        </w:rPr>
      </w:pPr>
      <w:r>
        <w:rPr>
          <w:rFonts w:hint="eastAsia"/>
          <w:sz w:val="28"/>
          <w:szCs w:val="28"/>
        </w:rPr>
        <w:t>（2）《</w:t>
      </w:r>
      <w:r>
        <w:rPr>
          <w:rFonts w:hint="eastAsia"/>
          <w:sz w:val="28"/>
          <w:szCs w:val="28"/>
          <w:lang w:eastAsia="zh-CN"/>
        </w:rPr>
        <w:t>商务技术文件</w:t>
      </w:r>
      <w:r>
        <w:rPr>
          <w:rFonts w:hint="eastAsia"/>
          <w:sz w:val="28"/>
          <w:szCs w:val="28"/>
        </w:rPr>
        <w:t>》 ：一式</w:t>
      </w:r>
      <w:r>
        <w:rPr>
          <w:rFonts w:hint="eastAsia"/>
          <w:sz w:val="28"/>
          <w:szCs w:val="28"/>
          <w:u w:val="single"/>
        </w:rPr>
        <w:t xml:space="preserve">  3 </w:t>
      </w:r>
      <w:r>
        <w:rPr>
          <w:rFonts w:hint="eastAsia"/>
          <w:sz w:val="28"/>
          <w:szCs w:val="28"/>
        </w:rPr>
        <w:t xml:space="preserve"> 份，其中正本</w:t>
      </w:r>
      <w:r>
        <w:rPr>
          <w:rFonts w:hint="eastAsia"/>
          <w:sz w:val="28"/>
          <w:szCs w:val="28"/>
          <w:u w:val="single"/>
        </w:rPr>
        <w:t xml:space="preserve">  1 </w:t>
      </w:r>
      <w:r>
        <w:rPr>
          <w:rFonts w:hint="eastAsia"/>
          <w:sz w:val="28"/>
          <w:szCs w:val="28"/>
        </w:rPr>
        <w:t xml:space="preserve"> 份，副本 </w:t>
      </w:r>
      <w:r>
        <w:rPr>
          <w:rFonts w:hint="eastAsia"/>
          <w:sz w:val="28"/>
          <w:szCs w:val="28"/>
          <w:u w:val="single"/>
        </w:rPr>
        <w:t xml:space="preserve"> 2 </w:t>
      </w:r>
      <w:r>
        <w:rPr>
          <w:rFonts w:hint="eastAsia"/>
          <w:sz w:val="28"/>
          <w:szCs w:val="28"/>
        </w:rPr>
        <w:t xml:space="preserve"> 份；</w:t>
      </w:r>
    </w:p>
    <w:p>
      <w:pPr>
        <w:spacing w:line="560" w:lineRule="exact"/>
        <w:ind w:firstLine="560" w:firstLineChars="200"/>
        <w:rPr>
          <w:rFonts w:hint="eastAsia"/>
          <w:sz w:val="28"/>
          <w:szCs w:val="28"/>
        </w:rPr>
      </w:pPr>
      <w:r>
        <w:rPr>
          <w:rFonts w:hint="eastAsia"/>
          <w:sz w:val="28"/>
          <w:szCs w:val="28"/>
        </w:rPr>
        <w:t xml:space="preserve">（3）《资格证明文件》 ：一式 </w:t>
      </w:r>
      <w:r>
        <w:rPr>
          <w:rFonts w:hint="eastAsia"/>
          <w:sz w:val="28"/>
          <w:szCs w:val="28"/>
          <w:u w:val="single"/>
        </w:rPr>
        <w:t xml:space="preserve"> 3  </w:t>
      </w:r>
      <w:r>
        <w:rPr>
          <w:rFonts w:hint="eastAsia"/>
          <w:sz w:val="28"/>
          <w:szCs w:val="28"/>
        </w:rPr>
        <w:t xml:space="preserve">份，其中正本 </w:t>
      </w:r>
      <w:r>
        <w:rPr>
          <w:rFonts w:hint="eastAsia"/>
          <w:sz w:val="28"/>
          <w:szCs w:val="28"/>
          <w:u w:val="single"/>
        </w:rPr>
        <w:t xml:space="preserve"> 1  </w:t>
      </w:r>
      <w:r>
        <w:rPr>
          <w:rFonts w:hint="eastAsia"/>
          <w:sz w:val="28"/>
          <w:szCs w:val="28"/>
        </w:rPr>
        <w:t>份，副本</w:t>
      </w:r>
      <w:r>
        <w:rPr>
          <w:rFonts w:hint="eastAsia"/>
          <w:sz w:val="28"/>
          <w:szCs w:val="28"/>
          <w:u w:val="single"/>
        </w:rPr>
        <w:t xml:space="preserve">  2  </w:t>
      </w:r>
      <w:r>
        <w:rPr>
          <w:rFonts w:hint="eastAsia"/>
          <w:sz w:val="28"/>
          <w:szCs w:val="28"/>
        </w:rPr>
        <w:t>份；</w:t>
      </w:r>
    </w:p>
    <w:p>
      <w:pPr>
        <w:spacing w:line="560" w:lineRule="exact"/>
        <w:ind w:firstLine="560" w:firstLineChars="200"/>
        <w:rPr>
          <w:rFonts w:hint="eastAsia"/>
          <w:sz w:val="28"/>
          <w:szCs w:val="28"/>
        </w:rPr>
      </w:pPr>
      <w:r>
        <w:rPr>
          <w:rFonts w:hint="eastAsia"/>
          <w:sz w:val="28"/>
          <w:szCs w:val="28"/>
        </w:rPr>
        <w:t>（4）《电子</w:t>
      </w:r>
      <w:r>
        <w:rPr>
          <w:rFonts w:hint="eastAsia"/>
          <w:sz w:val="28"/>
          <w:szCs w:val="28"/>
          <w:lang w:eastAsia="zh-CN"/>
        </w:rPr>
        <w:t>报价</w:t>
      </w:r>
      <w:r>
        <w:rPr>
          <w:rFonts w:hint="eastAsia"/>
          <w:sz w:val="28"/>
          <w:szCs w:val="28"/>
        </w:rPr>
        <w:t>文件》【必须含：《价格文件》、《</w:t>
      </w:r>
      <w:r>
        <w:rPr>
          <w:rFonts w:hint="eastAsia"/>
          <w:sz w:val="28"/>
          <w:szCs w:val="28"/>
          <w:lang w:eastAsia="zh-CN"/>
        </w:rPr>
        <w:t>商务技术文件</w:t>
      </w:r>
      <w:r>
        <w:rPr>
          <w:rFonts w:hint="eastAsia"/>
          <w:sz w:val="28"/>
          <w:szCs w:val="28"/>
        </w:rPr>
        <w:t>》、《资格证明文件》】：1份（即光盘1张）。</w:t>
      </w:r>
    </w:p>
    <w:p>
      <w:pPr>
        <w:spacing w:line="560" w:lineRule="exact"/>
        <w:ind w:firstLine="560" w:firstLineChars="200"/>
        <w:rPr>
          <w:rFonts w:hint="eastAsia"/>
          <w:sz w:val="28"/>
          <w:szCs w:val="28"/>
        </w:rPr>
      </w:pPr>
      <w:r>
        <w:rPr>
          <w:rFonts w:hint="eastAsia"/>
          <w:sz w:val="28"/>
          <w:szCs w:val="28"/>
        </w:rPr>
        <w:t>在每一份文件上均要注明“正本”或“副本”字样（《电子</w:t>
      </w:r>
      <w:r>
        <w:rPr>
          <w:rFonts w:hint="eastAsia"/>
          <w:sz w:val="28"/>
          <w:szCs w:val="28"/>
          <w:lang w:eastAsia="zh-CN"/>
        </w:rPr>
        <w:t>报价</w:t>
      </w:r>
      <w:r>
        <w:rPr>
          <w:rFonts w:hint="eastAsia"/>
          <w:sz w:val="28"/>
          <w:szCs w:val="28"/>
        </w:rPr>
        <w:t>文件》除外）。如果正本与副本、《电子</w:t>
      </w:r>
      <w:r>
        <w:rPr>
          <w:rFonts w:hint="eastAsia"/>
          <w:sz w:val="28"/>
          <w:szCs w:val="28"/>
          <w:lang w:eastAsia="zh-CN"/>
        </w:rPr>
        <w:t>报价</w:t>
      </w:r>
      <w:r>
        <w:rPr>
          <w:rFonts w:hint="eastAsia"/>
          <w:sz w:val="28"/>
          <w:szCs w:val="28"/>
        </w:rPr>
        <w:t>文件》不符，以纸质正本为准。</w:t>
      </w:r>
    </w:p>
    <w:p>
      <w:pPr>
        <w:spacing w:line="560" w:lineRule="exact"/>
        <w:ind w:firstLine="562" w:firstLineChars="200"/>
        <w:rPr>
          <w:rFonts w:hint="eastAsia" w:eastAsia="宋体"/>
          <w:b/>
          <w:bCs/>
          <w:sz w:val="28"/>
          <w:szCs w:val="28"/>
          <w:lang w:eastAsia="zh-CN"/>
        </w:rPr>
      </w:pPr>
      <w:bookmarkStart w:id="810" w:name="_Hlk112422739"/>
      <w:bookmarkStart w:id="811" w:name="_Hlk112426492"/>
      <w:r>
        <w:rPr>
          <w:rFonts w:hint="eastAsia"/>
          <w:b/>
          <w:bCs/>
          <w:sz w:val="28"/>
          <w:szCs w:val="28"/>
        </w:rPr>
        <w:t>解释与澄清</w:t>
      </w:r>
      <w:bookmarkEnd w:id="810"/>
      <w:bookmarkEnd w:id="811"/>
      <w:r>
        <w:rPr>
          <w:rFonts w:hint="eastAsia"/>
          <w:b/>
          <w:bCs/>
          <w:sz w:val="28"/>
          <w:szCs w:val="28"/>
          <w:lang w:eastAsia="zh-CN"/>
        </w:rPr>
        <w:t>：</w:t>
      </w:r>
    </w:p>
    <w:p>
      <w:pPr>
        <w:adjustRightInd w:val="0"/>
        <w:snapToGrid w:val="0"/>
        <w:spacing w:line="560" w:lineRule="exact"/>
        <w:ind w:firstLine="560" w:firstLineChars="200"/>
        <w:jc w:val="left"/>
        <w:rPr>
          <w:rFonts w:asciiTheme="minorEastAsia" w:hAnsiTheme="minorEastAsia" w:eastAsiaTheme="minorEastAsia"/>
          <w:bCs/>
          <w:sz w:val="28"/>
          <w:szCs w:val="28"/>
          <w:highlight w:val="none"/>
        </w:rPr>
      </w:pPr>
      <w:r>
        <w:rPr>
          <w:rFonts w:asciiTheme="minorEastAsia" w:hAnsiTheme="minorEastAsia" w:eastAsiaTheme="minorEastAsia"/>
          <w:bCs/>
          <w:sz w:val="28"/>
          <w:szCs w:val="28"/>
        </w:rPr>
        <w:t>1</w:t>
      </w:r>
      <w:r>
        <w:rPr>
          <w:rFonts w:hint="eastAsia" w:asciiTheme="minorEastAsia" w:hAnsiTheme="minorEastAsia" w:eastAsiaTheme="minorEastAsia"/>
          <w:bCs/>
          <w:sz w:val="28"/>
          <w:szCs w:val="28"/>
          <w:lang w:val="en-US" w:eastAsia="zh-CN"/>
        </w:rPr>
        <w:t>.</w:t>
      </w:r>
      <w:r>
        <w:rPr>
          <w:rFonts w:hint="eastAsia" w:asciiTheme="minorEastAsia" w:hAnsiTheme="minorEastAsia" w:eastAsiaTheme="minorEastAsia"/>
          <w:bCs/>
          <w:sz w:val="28"/>
          <w:szCs w:val="28"/>
        </w:rPr>
        <w:t>对于</w:t>
      </w:r>
      <w:r>
        <w:rPr>
          <w:rFonts w:hint="eastAsia" w:asciiTheme="minorEastAsia" w:hAnsiTheme="minorEastAsia" w:eastAsiaTheme="minorEastAsia"/>
          <w:bCs/>
          <w:sz w:val="28"/>
          <w:szCs w:val="28"/>
          <w:lang w:eastAsia="zh-CN"/>
        </w:rPr>
        <w:t>报价</w:t>
      </w:r>
      <w:r>
        <w:rPr>
          <w:rFonts w:hint="eastAsia" w:asciiTheme="minorEastAsia" w:hAnsiTheme="minorEastAsia" w:eastAsiaTheme="minorEastAsia"/>
          <w:bCs/>
          <w:sz w:val="28"/>
          <w:szCs w:val="28"/>
          <w:highlight w:val="none"/>
        </w:rPr>
        <w:t>文件中含义不明确、同类问题表述不一致或有明显文字、计算错误的内容，评审委员会应当要求</w:t>
      </w:r>
      <w:r>
        <w:rPr>
          <w:rFonts w:hint="eastAsia" w:asciiTheme="minorEastAsia" w:hAnsiTheme="minorEastAsia" w:eastAsiaTheme="minorEastAsia"/>
          <w:bCs/>
          <w:sz w:val="28"/>
          <w:szCs w:val="28"/>
          <w:highlight w:val="none"/>
          <w:lang w:eastAsia="zh-CN"/>
        </w:rPr>
        <w:t>报价</w:t>
      </w:r>
      <w:r>
        <w:rPr>
          <w:rFonts w:hint="eastAsia" w:asciiTheme="minorEastAsia" w:hAnsiTheme="minorEastAsia" w:eastAsiaTheme="minorEastAsia"/>
          <w:bCs/>
          <w:sz w:val="28"/>
          <w:szCs w:val="28"/>
          <w:highlight w:val="none"/>
        </w:rPr>
        <w:t>供应商作出必要的澄清、说明或补正。</w:t>
      </w:r>
    </w:p>
    <w:p>
      <w:pPr>
        <w:adjustRightInd w:val="0"/>
        <w:snapToGrid w:val="0"/>
        <w:spacing w:line="560" w:lineRule="exact"/>
        <w:ind w:firstLine="560" w:firstLineChars="200"/>
        <w:jc w:val="left"/>
        <w:rPr>
          <w:rFonts w:asciiTheme="minorEastAsia" w:hAnsiTheme="minorEastAsia" w:eastAsiaTheme="minorEastAsia"/>
          <w:bCs/>
          <w:sz w:val="28"/>
          <w:szCs w:val="28"/>
          <w:highlight w:val="none"/>
        </w:rPr>
      </w:pPr>
      <w:r>
        <w:rPr>
          <w:rFonts w:asciiTheme="minorEastAsia" w:hAnsiTheme="minorEastAsia" w:eastAsiaTheme="minorEastAsia"/>
          <w:bCs/>
          <w:sz w:val="28"/>
          <w:szCs w:val="28"/>
          <w:highlight w:val="none"/>
        </w:rPr>
        <w:t>2</w:t>
      </w:r>
      <w:r>
        <w:rPr>
          <w:rFonts w:hint="eastAsia" w:asciiTheme="minorEastAsia" w:hAnsiTheme="minorEastAsia" w:eastAsiaTheme="minorEastAsia"/>
          <w:bCs/>
          <w:sz w:val="28"/>
          <w:szCs w:val="28"/>
          <w:highlight w:val="none"/>
          <w:lang w:val="en-US" w:eastAsia="zh-CN"/>
        </w:rPr>
        <w:t>.</w:t>
      </w:r>
      <w:r>
        <w:rPr>
          <w:rFonts w:hint="eastAsia" w:asciiTheme="minorEastAsia" w:hAnsiTheme="minorEastAsia" w:eastAsiaTheme="minorEastAsia"/>
          <w:bCs/>
          <w:sz w:val="28"/>
          <w:szCs w:val="28"/>
          <w:highlight w:val="none"/>
          <w:lang w:eastAsia="zh-CN"/>
        </w:rPr>
        <w:t>报价</w:t>
      </w:r>
      <w:r>
        <w:rPr>
          <w:rFonts w:hint="eastAsia" w:asciiTheme="minorEastAsia" w:hAnsiTheme="minorEastAsia" w:eastAsiaTheme="minorEastAsia"/>
          <w:bCs/>
          <w:sz w:val="28"/>
          <w:szCs w:val="28"/>
          <w:highlight w:val="none"/>
        </w:rPr>
        <w:t>供应商的澄清、说明或补正应当采用书面形式，并由法定代表人或授权代表签字。未签字的，澄清、说明或补正内容无效。</w:t>
      </w:r>
    </w:p>
    <w:p>
      <w:pPr>
        <w:adjustRightInd w:val="0"/>
        <w:snapToGrid w:val="0"/>
        <w:spacing w:line="560" w:lineRule="exact"/>
        <w:ind w:firstLine="560" w:firstLineChars="200"/>
        <w:jc w:val="left"/>
        <w:rPr>
          <w:rFonts w:asciiTheme="minorEastAsia" w:hAnsiTheme="minorEastAsia" w:eastAsiaTheme="minorEastAsia"/>
          <w:bCs/>
          <w:sz w:val="28"/>
          <w:szCs w:val="28"/>
          <w:highlight w:val="none"/>
        </w:rPr>
      </w:pPr>
      <w:r>
        <w:rPr>
          <w:rFonts w:asciiTheme="minorEastAsia" w:hAnsiTheme="minorEastAsia" w:eastAsiaTheme="minorEastAsia"/>
          <w:bCs/>
          <w:sz w:val="28"/>
          <w:szCs w:val="28"/>
          <w:highlight w:val="none"/>
        </w:rPr>
        <w:t>3</w:t>
      </w:r>
      <w:r>
        <w:rPr>
          <w:rFonts w:hint="eastAsia" w:asciiTheme="minorEastAsia" w:hAnsiTheme="minorEastAsia" w:eastAsiaTheme="minorEastAsia"/>
          <w:bCs/>
          <w:sz w:val="28"/>
          <w:szCs w:val="28"/>
          <w:highlight w:val="none"/>
          <w:lang w:val="en-US" w:eastAsia="zh-CN"/>
        </w:rPr>
        <w:t>.</w:t>
      </w:r>
      <w:r>
        <w:rPr>
          <w:rFonts w:hint="eastAsia" w:asciiTheme="minorEastAsia" w:hAnsiTheme="minorEastAsia" w:eastAsiaTheme="minorEastAsia"/>
          <w:bCs/>
          <w:sz w:val="28"/>
          <w:szCs w:val="28"/>
          <w:highlight w:val="none"/>
        </w:rPr>
        <w:t>有效的书面澄清材料，是</w:t>
      </w:r>
      <w:r>
        <w:rPr>
          <w:rFonts w:hint="eastAsia" w:asciiTheme="minorEastAsia" w:hAnsiTheme="minorEastAsia" w:eastAsiaTheme="minorEastAsia"/>
          <w:bCs/>
          <w:sz w:val="28"/>
          <w:szCs w:val="28"/>
          <w:highlight w:val="none"/>
          <w:lang w:eastAsia="zh-CN"/>
        </w:rPr>
        <w:t>报价</w:t>
      </w:r>
      <w:r>
        <w:rPr>
          <w:rFonts w:hint="eastAsia" w:asciiTheme="minorEastAsia" w:hAnsiTheme="minorEastAsia" w:eastAsiaTheme="minorEastAsia"/>
          <w:bCs/>
          <w:sz w:val="28"/>
          <w:szCs w:val="28"/>
          <w:highlight w:val="none"/>
        </w:rPr>
        <w:t>文件的补充材料，成为</w:t>
      </w:r>
      <w:r>
        <w:rPr>
          <w:rFonts w:hint="eastAsia" w:asciiTheme="minorEastAsia" w:hAnsiTheme="minorEastAsia" w:eastAsiaTheme="minorEastAsia"/>
          <w:bCs/>
          <w:sz w:val="28"/>
          <w:szCs w:val="28"/>
          <w:highlight w:val="none"/>
          <w:lang w:eastAsia="zh-CN"/>
        </w:rPr>
        <w:t>报价</w:t>
      </w:r>
      <w:r>
        <w:rPr>
          <w:rFonts w:hint="eastAsia" w:asciiTheme="minorEastAsia" w:hAnsiTheme="minorEastAsia" w:eastAsiaTheme="minorEastAsia"/>
          <w:bCs/>
          <w:sz w:val="28"/>
          <w:szCs w:val="28"/>
          <w:highlight w:val="none"/>
        </w:rPr>
        <w:t>文件的组成部分。</w:t>
      </w:r>
    </w:p>
    <w:p>
      <w:pPr>
        <w:adjustRightInd w:val="0"/>
        <w:snapToGrid w:val="0"/>
        <w:spacing w:line="560" w:lineRule="exact"/>
        <w:ind w:firstLine="560" w:firstLineChars="200"/>
        <w:rPr>
          <w:rFonts w:asciiTheme="minorEastAsia" w:hAnsiTheme="minorEastAsia" w:eastAsiaTheme="minorEastAsia"/>
          <w:bCs/>
          <w:sz w:val="28"/>
          <w:szCs w:val="28"/>
          <w:highlight w:val="none"/>
        </w:rPr>
      </w:pPr>
      <w:r>
        <w:rPr>
          <w:rFonts w:asciiTheme="minorEastAsia" w:hAnsiTheme="minorEastAsia" w:eastAsiaTheme="minorEastAsia"/>
          <w:bCs/>
          <w:sz w:val="28"/>
          <w:szCs w:val="28"/>
          <w:highlight w:val="none"/>
        </w:rPr>
        <w:t>4</w:t>
      </w:r>
      <w:r>
        <w:rPr>
          <w:rFonts w:hint="eastAsia" w:asciiTheme="minorEastAsia" w:hAnsiTheme="minorEastAsia" w:eastAsiaTheme="minorEastAsia"/>
          <w:bCs/>
          <w:sz w:val="28"/>
          <w:szCs w:val="28"/>
          <w:highlight w:val="none"/>
          <w:lang w:val="en-US" w:eastAsia="zh-CN"/>
        </w:rPr>
        <w:t>.</w:t>
      </w:r>
      <w:r>
        <w:rPr>
          <w:rFonts w:hint="eastAsia" w:asciiTheme="minorEastAsia" w:hAnsiTheme="minorEastAsia" w:eastAsiaTheme="minorEastAsia"/>
          <w:bCs/>
          <w:sz w:val="28"/>
          <w:szCs w:val="28"/>
          <w:highlight w:val="none"/>
          <w:lang w:eastAsia="zh-CN"/>
        </w:rPr>
        <w:t>报价</w:t>
      </w:r>
      <w:r>
        <w:rPr>
          <w:rFonts w:hint="eastAsia" w:asciiTheme="minorEastAsia" w:hAnsiTheme="minorEastAsia" w:eastAsiaTheme="minorEastAsia"/>
          <w:bCs/>
          <w:sz w:val="28"/>
          <w:szCs w:val="28"/>
          <w:highlight w:val="none"/>
        </w:rPr>
        <w:t>文件出现下列情形，不需要</w:t>
      </w:r>
      <w:r>
        <w:rPr>
          <w:rFonts w:hint="eastAsia" w:asciiTheme="minorEastAsia" w:hAnsiTheme="minorEastAsia" w:eastAsiaTheme="minorEastAsia"/>
          <w:bCs/>
          <w:sz w:val="28"/>
          <w:szCs w:val="28"/>
          <w:highlight w:val="none"/>
          <w:lang w:eastAsia="zh-CN"/>
        </w:rPr>
        <w:t>报价</w:t>
      </w:r>
      <w:r>
        <w:rPr>
          <w:rFonts w:hint="eastAsia" w:asciiTheme="minorEastAsia" w:hAnsiTheme="minorEastAsia" w:eastAsiaTheme="minorEastAsia"/>
          <w:bCs/>
          <w:sz w:val="28"/>
          <w:szCs w:val="28"/>
          <w:highlight w:val="none"/>
        </w:rPr>
        <w:t>供应商澄清，按照下列规定进行算术修正：</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highlight w:val="none"/>
        </w:rPr>
        <w:t>（</w:t>
      </w:r>
      <w:r>
        <w:rPr>
          <w:rFonts w:asciiTheme="minorEastAsia" w:hAnsiTheme="minorEastAsia" w:eastAsiaTheme="minorEastAsia"/>
          <w:bCs/>
          <w:sz w:val="28"/>
          <w:szCs w:val="28"/>
          <w:highlight w:val="none"/>
        </w:rPr>
        <w:t>1）</w:t>
      </w:r>
      <w:r>
        <w:rPr>
          <w:rFonts w:hint="eastAsia" w:asciiTheme="minorEastAsia" w:hAnsiTheme="minorEastAsia" w:eastAsiaTheme="minorEastAsia"/>
          <w:bCs/>
          <w:sz w:val="28"/>
          <w:szCs w:val="28"/>
          <w:highlight w:val="none"/>
          <w:lang w:eastAsia="zh-CN"/>
        </w:rPr>
        <w:t>报价</w:t>
      </w:r>
      <w:r>
        <w:rPr>
          <w:rFonts w:asciiTheme="minorEastAsia" w:hAnsiTheme="minorEastAsia" w:eastAsiaTheme="minorEastAsia"/>
          <w:bCs/>
          <w:sz w:val="28"/>
          <w:szCs w:val="28"/>
          <w:highlight w:val="none"/>
        </w:rPr>
        <w:t>文件中</w:t>
      </w:r>
      <w:r>
        <w:rPr>
          <w:rFonts w:hint="eastAsia" w:asciiTheme="minorEastAsia" w:hAnsiTheme="minorEastAsia" w:eastAsiaTheme="minorEastAsia"/>
          <w:bCs/>
          <w:sz w:val="28"/>
          <w:szCs w:val="28"/>
          <w:highlight w:val="none"/>
          <w:lang w:eastAsia="zh-CN"/>
        </w:rPr>
        <w:t>报价</w:t>
      </w:r>
      <w:r>
        <w:rPr>
          <w:rFonts w:asciiTheme="minorEastAsia" w:hAnsiTheme="minorEastAsia" w:eastAsiaTheme="minorEastAsia"/>
          <w:bCs/>
          <w:sz w:val="28"/>
          <w:szCs w:val="28"/>
          <w:highlight w:val="none"/>
        </w:rPr>
        <w:t>一览表内容与</w:t>
      </w:r>
      <w:r>
        <w:rPr>
          <w:rFonts w:hint="eastAsia" w:asciiTheme="minorEastAsia" w:hAnsiTheme="minorEastAsia" w:eastAsiaTheme="minorEastAsia"/>
          <w:bCs/>
          <w:sz w:val="28"/>
          <w:szCs w:val="28"/>
          <w:highlight w:val="none"/>
          <w:lang w:eastAsia="zh-CN"/>
        </w:rPr>
        <w:t>报价</w:t>
      </w:r>
      <w:r>
        <w:rPr>
          <w:rFonts w:asciiTheme="minorEastAsia" w:hAnsiTheme="minorEastAsia" w:eastAsiaTheme="minorEastAsia"/>
          <w:bCs/>
          <w:sz w:val="28"/>
          <w:szCs w:val="28"/>
          <w:highlight w:val="none"/>
        </w:rPr>
        <w:t>文件中相应</w:t>
      </w:r>
      <w:r>
        <w:rPr>
          <w:rFonts w:asciiTheme="minorEastAsia" w:hAnsiTheme="minorEastAsia" w:eastAsiaTheme="minorEastAsia"/>
          <w:bCs/>
          <w:sz w:val="28"/>
          <w:szCs w:val="28"/>
        </w:rPr>
        <w:t>内容不一致的，以</w:t>
      </w:r>
      <w:r>
        <w:rPr>
          <w:rFonts w:hint="eastAsia" w:asciiTheme="minorEastAsia" w:hAnsiTheme="minorEastAsia" w:eastAsiaTheme="minorEastAsia"/>
          <w:bCs/>
          <w:sz w:val="28"/>
          <w:szCs w:val="28"/>
          <w:lang w:eastAsia="zh-CN"/>
        </w:rPr>
        <w:t>报价</w:t>
      </w:r>
      <w:r>
        <w:rPr>
          <w:rFonts w:asciiTheme="minorEastAsia" w:hAnsiTheme="minorEastAsia" w:eastAsiaTheme="minorEastAsia"/>
          <w:bCs/>
          <w:sz w:val="28"/>
          <w:szCs w:val="28"/>
        </w:rPr>
        <w:t>一览表为准</w:t>
      </w:r>
      <w:r>
        <w:rPr>
          <w:rFonts w:hint="eastAsia" w:asciiTheme="minorEastAsia" w:hAnsiTheme="minorEastAsia" w:eastAsiaTheme="minorEastAsia"/>
          <w:bCs/>
          <w:sz w:val="28"/>
          <w:szCs w:val="28"/>
        </w:rPr>
        <w:t>。</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2）</w:t>
      </w:r>
      <w:r>
        <w:rPr>
          <w:rFonts w:hint="eastAsia" w:asciiTheme="minorEastAsia" w:hAnsiTheme="minorEastAsia" w:eastAsiaTheme="minorEastAsia"/>
          <w:bCs/>
          <w:sz w:val="28"/>
          <w:szCs w:val="28"/>
          <w:lang w:eastAsia="zh-CN"/>
        </w:rPr>
        <w:t>报价</w:t>
      </w:r>
      <w:r>
        <w:rPr>
          <w:rFonts w:hint="eastAsia" w:asciiTheme="minorEastAsia" w:hAnsiTheme="minorEastAsia" w:eastAsiaTheme="minorEastAsia"/>
          <w:bCs/>
          <w:sz w:val="28"/>
          <w:szCs w:val="28"/>
        </w:rPr>
        <w:t>文件的大写金额和小写金额不一致的，以大写金额为准，但大写金额出现文字错误，导致金额无法判断的，以小写金额为准。</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3）</w:t>
      </w:r>
      <w:r>
        <w:rPr>
          <w:rFonts w:hint="eastAsia" w:asciiTheme="minorEastAsia" w:hAnsiTheme="minorEastAsia" w:eastAsiaTheme="minorEastAsia"/>
          <w:bCs/>
          <w:sz w:val="28"/>
          <w:szCs w:val="28"/>
        </w:rPr>
        <w:t>总价金额与按照单价汇总金额不一致的，以单价汇总金额为准，但是单价汇总金额出现计算错误且明显人为工作失误的，以总价金额为准；单价金额小数点有明显错位的，以总价金额为准。</w:t>
      </w:r>
    </w:p>
    <w:p>
      <w:pPr>
        <w:adjustRightInd w:val="0"/>
        <w:snapToGrid w:val="0"/>
        <w:spacing w:line="560" w:lineRule="exact"/>
        <w:ind w:firstLine="560" w:firstLineChars="200"/>
        <w:rPr>
          <w:rFonts w:hint="eastAsia" w:asciiTheme="minorEastAsia" w:hAnsiTheme="minorEastAsia" w:eastAsiaTheme="minorEastAsia"/>
          <w:bCs/>
          <w:sz w:val="28"/>
          <w:szCs w:val="28"/>
          <w:lang w:eastAsia="zh-CN"/>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4）</w:t>
      </w:r>
      <w:r>
        <w:rPr>
          <w:rFonts w:hint="eastAsia" w:asciiTheme="minorEastAsia" w:hAnsiTheme="minorEastAsia" w:eastAsiaTheme="minorEastAsia"/>
          <w:bCs/>
          <w:sz w:val="28"/>
          <w:szCs w:val="28"/>
        </w:rPr>
        <w:t>不同语言文本</w:t>
      </w:r>
      <w:r>
        <w:rPr>
          <w:rFonts w:hint="eastAsia" w:asciiTheme="minorEastAsia" w:hAnsiTheme="minorEastAsia" w:eastAsiaTheme="minorEastAsia"/>
          <w:bCs/>
          <w:sz w:val="28"/>
          <w:szCs w:val="28"/>
          <w:lang w:eastAsia="zh-CN"/>
        </w:rPr>
        <w:t>报价</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文件的解释有异议的，以中文文本为准。</w:t>
      </w:r>
    </w:p>
    <w:p>
      <w:pPr>
        <w:adjustRightInd w:val="0"/>
        <w:snapToGrid w:val="0"/>
        <w:spacing w:line="560" w:lineRule="exact"/>
        <w:ind w:firstLine="560" w:firstLineChars="200"/>
      </w:pPr>
      <w:r>
        <w:rPr>
          <w:rFonts w:hint="eastAsia" w:asciiTheme="minorEastAsia" w:hAnsiTheme="minorEastAsia" w:eastAsiaTheme="minorEastAsia"/>
          <w:bCs/>
          <w:sz w:val="28"/>
          <w:szCs w:val="28"/>
        </w:rPr>
        <w:t>同时出现本条第（</w:t>
      </w:r>
      <w:r>
        <w:rPr>
          <w:rFonts w:asciiTheme="minorEastAsia" w:hAnsiTheme="minorEastAsia" w:eastAsiaTheme="minorEastAsia"/>
          <w:bCs/>
          <w:sz w:val="28"/>
          <w:szCs w:val="28"/>
        </w:rPr>
        <w:t>2）（3）项情形的，</w:t>
      </w:r>
      <w:r>
        <w:rPr>
          <w:rFonts w:hint="eastAsia" w:asciiTheme="minorEastAsia" w:hAnsiTheme="minorEastAsia" w:eastAsiaTheme="minorEastAsia"/>
          <w:bCs/>
          <w:sz w:val="28"/>
          <w:szCs w:val="28"/>
        </w:rPr>
        <w:t>按照第（</w:t>
      </w:r>
      <w:r>
        <w:rPr>
          <w:rFonts w:asciiTheme="minorEastAsia" w:hAnsiTheme="minorEastAsia" w:eastAsiaTheme="minorEastAsia"/>
          <w:bCs/>
          <w:sz w:val="28"/>
          <w:szCs w:val="28"/>
        </w:rPr>
        <w:t>2）项规定修正。修正后的内容经</w:t>
      </w:r>
      <w:r>
        <w:rPr>
          <w:rFonts w:hint="eastAsia" w:asciiTheme="minorEastAsia" w:hAnsiTheme="minorEastAsia" w:eastAsiaTheme="minorEastAsia"/>
          <w:bCs/>
          <w:sz w:val="28"/>
          <w:szCs w:val="28"/>
          <w:lang w:eastAsia="zh-CN"/>
        </w:rPr>
        <w:t>报价</w:t>
      </w:r>
      <w:r>
        <w:rPr>
          <w:rFonts w:hint="eastAsia" w:asciiTheme="minorEastAsia" w:hAnsiTheme="minorEastAsia" w:eastAsiaTheme="minorEastAsia"/>
          <w:bCs/>
          <w:sz w:val="28"/>
          <w:szCs w:val="28"/>
        </w:rPr>
        <w:t>供应商确认后继续评审，</w:t>
      </w:r>
      <w:r>
        <w:rPr>
          <w:rFonts w:hint="eastAsia" w:asciiTheme="minorEastAsia" w:hAnsiTheme="minorEastAsia" w:eastAsiaTheme="minorEastAsia"/>
          <w:bCs/>
          <w:sz w:val="28"/>
          <w:szCs w:val="28"/>
          <w:lang w:eastAsia="zh-CN"/>
        </w:rPr>
        <w:t>报价</w:t>
      </w:r>
      <w:r>
        <w:rPr>
          <w:rFonts w:hint="eastAsia" w:asciiTheme="minorEastAsia" w:hAnsiTheme="minorEastAsia" w:eastAsiaTheme="minorEastAsia"/>
          <w:bCs/>
          <w:sz w:val="28"/>
          <w:szCs w:val="28"/>
        </w:rPr>
        <w:t>供应商不确认的，其</w:t>
      </w:r>
      <w:r>
        <w:rPr>
          <w:rFonts w:hint="eastAsia" w:asciiTheme="minorEastAsia" w:hAnsiTheme="minorEastAsia" w:eastAsiaTheme="minorEastAsia"/>
          <w:bCs/>
          <w:sz w:val="28"/>
          <w:szCs w:val="28"/>
          <w:lang w:eastAsia="zh-CN"/>
        </w:rPr>
        <w:t>报价</w:t>
      </w:r>
      <w:r>
        <w:rPr>
          <w:rFonts w:hint="eastAsia" w:asciiTheme="minorEastAsia" w:hAnsiTheme="minorEastAsia" w:eastAsiaTheme="minorEastAsia"/>
          <w:bCs/>
          <w:sz w:val="28"/>
          <w:szCs w:val="28"/>
        </w:rPr>
        <w:t>无效。</w:t>
      </w:r>
    </w:p>
    <w:p>
      <w:pPr>
        <w:adjustRightInd w:val="0"/>
        <w:snapToGrid w:val="0"/>
        <w:spacing w:line="560" w:lineRule="exact"/>
        <w:ind w:firstLine="560" w:firstLineChars="200"/>
        <w:rPr>
          <w:rFonts w:asciiTheme="minorEastAsia" w:hAnsiTheme="minorEastAsia" w:eastAsiaTheme="minorEastAsia"/>
          <w:bCs/>
          <w:sz w:val="28"/>
          <w:szCs w:val="28"/>
        </w:rPr>
      </w:pPr>
      <w:r>
        <w:rPr>
          <w:rFonts w:cs="仿宋" w:asciiTheme="minorEastAsia" w:hAnsiTheme="minorEastAsia" w:eastAsiaTheme="minorEastAsia"/>
          <w:bCs/>
          <w:sz w:val="28"/>
          <w:szCs w:val="28"/>
        </w:rPr>
        <w:t>5</w:t>
      </w:r>
      <w:r>
        <w:rPr>
          <w:rFonts w:hint="eastAsia" w:cs="仿宋" w:asciiTheme="minorEastAsia" w:hAnsiTheme="minorEastAsia" w:eastAsiaTheme="minorEastAsia"/>
          <w:bCs/>
          <w:sz w:val="28"/>
          <w:szCs w:val="28"/>
          <w:lang w:val="en-US" w:eastAsia="zh-CN"/>
        </w:rPr>
        <w:t>.</w:t>
      </w:r>
      <w:r>
        <w:rPr>
          <w:rFonts w:hint="eastAsia" w:cs="仿宋" w:asciiTheme="minorEastAsia" w:hAnsiTheme="minorEastAsia" w:eastAsiaTheme="minorEastAsia"/>
          <w:bCs/>
          <w:sz w:val="28"/>
          <w:szCs w:val="28"/>
        </w:rPr>
        <w:t>评审委员会组织澄清时不得出现下列情形：</w:t>
      </w:r>
    </w:p>
    <w:p>
      <w:pPr>
        <w:adjustRightInd w:val="0"/>
        <w:snapToGrid w:val="0"/>
        <w:spacing w:line="560" w:lineRule="exact"/>
        <w:ind w:firstLine="560" w:firstLineChars="200"/>
        <w:rPr>
          <w:rFonts w:asciiTheme="minorEastAsia" w:hAnsiTheme="minorEastAsia" w:eastAsiaTheme="minorEastAsia"/>
          <w:bCs/>
          <w:sz w:val="28"/>
          <w:szCs w:val="28"/>
          <w:lang w:val="zh-CN"/>
        </w:rPr>
      </w:pPr>
      <w:r>
        <w:rPr>
          <w:rFonts w:hint="eastAsia" w:asciiTheme="minorEastAsia" w:hAnsiTheme="minorEastAsia" w:eastAsiaTheme="minorEastAsia"/>
          <w:bCs/>
          <w:sz w:val="28"/>
          <w:szCs w:val="28"/>
          <w:lang w:val="zh-CN"/>
        </w:rPr>
        <w:t>（</w:t>
      </w:r>
      <w:r>
        <w:rPr>
          <w:rFonts w:asciiTheme="minorEastAsia" w:hAnsiTheme="minorEastAsia" w:eastAsiaTheme="minorEastAsia"/>
          <w:bCs/>
          <w:sz w:val="28"/>
          <w:szCs w:val="28"/>
          <w:lang w:val="zh-CN"/>
        </w:rPr>
        <w:t>1）</w:t>
      </w:r>
      <w:r>
        <w:rPr>
          <w:rFonts w:hint="eastAsia" w:asciiTheme="minorEastAsia" w:hAnsiTheme="minorEastAsia" w:eastAsiaTheme="minorEastAsia"/>
          <w:bCs/>
          <w:sz w:val="28"/>
          <w:szCs w:val="28"/>
          <w:lang w:val="zh-CN"/>
        </w:rPr>
        <w:t>拒绝接受采购机构或采购单位对谈判文件的解释、说明；</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lang w:val="zh-CN"/>
        </w:rPr>
        <w:t>（</w:t>
      </w:r>
      <w:r>
        <w:rPr>
          <w:rFonts w:asciiTheme="minorEastAsia" w:hAnsiTheme="minorEastAsia" w:eastAsiaTheme="minorEastAsia"/>
          <w:bCs/>
          <w:sz w:val="28"/>
          <w:szCs w:val="28"/>
          <w:lang w:val="zh-CN"/>
        </w:rPr>
        <w:t>2）</w:t>
      </w:r>
      <w:r>
        <w:rPr>
          <w:rFonts w:hint="eastAsia" w:cs="仿宋" w:asciiTheme="minorEastAsia" w:hAnsiTheme="minorEastAsia" w:eastAsiaTheme="minorEastAsia"/>
          <w:bCs/>
          <w:sz w:val="28"/>
          <w:szCs w:val="28"/>
        </w:rPr>
        <w:t>要求或接受</w:t>
      </w:r>
      <w:r>
        <w:rPr>
          <w:rFonts w:hint="eastAsia" w:cs="仿宋" w:asciiTheme="minorEastAsia" w:hAnsiTheme="minorEastAsia" w:eastAsiaTheme="minorEastAsia"/>
          <w:bCs/>
          <w:sz w:val="28"/>
          <w:szCs w:val="28"/>
          <w:lang w:eastAsia="zh-CN"/>
        </w:rPr>
        <w:t>报价</w:t>
      </w:r>
      <w:r>
        <w:rPr>
          <w:rFonts w:hint="eastAsia" w:cs="仿宋" w:asciiTheme="minorEastAsia" w:hAnsiTheme="minorEastAsia" w:eastAsiaTheme="minorEastAsia"/>
          <w:bCs/>
          <w:sz w:val="28"/>
          <w:szCs w:val="28"/>
        </w:rPr>
        <w:t>供应商作出超出</w:t>
      </w:r>
      <w:r>
        <w:rPr>
          <w:rFonts w:hint="eastAsia" w:cs="仿宋" w:asciiTheme="minorEastAsia" w:hAnsiTheme="minorEastAsia" w:eastAsiaTheme="minorEastAsia"/>
          <w:bCs/>
          <w:sz w:val="28"/>
          <w:szCs w:val="28"/>
          <w:lang w:eastAsia="zh-CN"/>
        </w:rPr>
        <w:t>报价</w:t>
      </w:r>
      <w:r>
        <w:rPr>
          <w:rFonts w:hint="eastAsia" w:cs="仿宋" w:asciiTheme="minorEastAsia" w:hAnsiTheme="minorEastAsia" w:eastAsiaTheme="minorEastAsia"/>
          <w:bCs/>
          <w:sz w:val="28"/>
          <w:szCs w:val="28"/>
        </w:rPr>
        <w:t>文件的范围、与</w:t>
      </w:r>
      <w:r>
        <w:rPr>
          <w:rFonts w:hint="eastAsia" w:cs="仿宋" w:asciiTheme="minorEastAsia" w:hAnsiTheme="minorEastAsia" w:eastAsiaTheme="minorEastAsia"/>
          <w:bCs/>
          <w:sz w:val="28"/>
          <w:szCs w:val="28"/>
          <w:lang w:eastAsia="zh-CN"/>
        </w:rPr>
        <w:t>报价</w:t>
      </w:r>
      <w:r>
        <w:rPr>
          <w:rFonts w:hint="eastAsia" w:cs="仿宋" w:asciiTheme="minorEastAsia" w:hAnsiTheme="minorEastAsia" w:eastAsiaTheme="minorEastAsia"/>
          <w:bCs/>
          <w:sz w:val="28"/>
          <w:szCs w:val="28"/>
        </w:rPr>
        <w:t>文件原义不同，或改变</w:t>
      </w:r>
      <w:r>
        <w:rPr>
          <w:rFonts w:hint="eastAsia" w:cs="仿宋" w:asciiTheme="minorEastAsia" w:hAnsiTheme="minorEastAsia" w:eastAsiaTheme="minorEastAsia"/>
          <w:bCs/>
          <w:sz w:val="28"/>
          <w:szCs w:val="28"/>
          <w:lang w:eastAsia="zh-CN"/>
        </w:rPr>
        <w:t>报价</w:t>
      </w:r>
      <w:r>
        <w:rPr>
          <w:rFonts w:hint="eastAsia" w:cs="仿宋" w:asciiTheme="minorEastAsia" w:hAnsiTheme="minorEastAsia" w:eastAsiaTheme="minorEastAsia"/>
          <w:bCs/>
          <w:sz w:val="28"/>
          <w:szCs w:val="28"/>
        </w:rPr>
        <w:t>文件实质性内容的</w:t>
      </w:r>
      <w:r>
        <w:rPr>
          <w:rFonts w:hint="eastAsia" w:asciiTheme="minorEastAsia" w:hAnsiTheme="minorEastAsia" w:eastAsiaTheme="minorEastAsia"/>
          <w:bCs/>
          <w:sz w:val="28"/>
          <w:szCs w:val="28"/>
        </w:rPr>
        <w:t>澄清、说明、补正；</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lang w:val="zh-CN"/>
        </w:rPr>
        <w:t>（</w:t>
      </w:r>
      <w:r>
        <w:rPr>
          <w:rFonts w:asciiTheme="minorEastAsia" w:hAnsiTheme="minorEastAsia" w:eastAsiaTheme="minorEastAsia"/>
          <w:bCs/>
          <w:sz w:val="28"/>
          <w:szCs w:val="28"/>
          <w:lang w:val="zh-CN"/>
        </w:rPr>
        <w:t>3</w:t>
      </w:r>
      <w:r>
        <w:rPr>
          <w:rFonts w:hint="eastAsia" w:asciiTheme="minorEastAsia" w:hAnsiTheme="minorEastAsia" w:eastAsiaTheme="minorEastAsia"/>
          <w:bCs/>
          <w:sz w:val="28"/>
          <w:szCs w:val="28"/>
          <w:lang w:val="zh-CN"/>
        </w:rPr>
        <w:t>）</w:t>
      </w:r>
      <w:r>
        <w:rPr>
          <w:rFonts w:hint="eastAsia" w:cs="仿宋" w:asciiTheme="minorEastAsia" w:hAnsiTheme="minorEastAsia" w:eastAsiaTheme="minorEastAsia"/>
          <w:bCs/>
          <w:sz w:val="28"/>
          <w:szCs w:val="28"/>
        </w:rPr>
        <w:t>暗示或诱导</w:t>
      </w:r>
      <w:r>
        <w:rPr>
          <w:rFonts w:hint="eastAsia" w:cs="仿宋" w:asciiTheme="minorEastAsia" w:hAnsiTheme="minorEastAsia" w:eastAsiaTheme="minorEastAsia"/>
          <w:bCs/>
          <w:sz w:val="28"/>
          <w:szCs w:val="28"/>
          <w:lang w:eastAsia="zh-CN"/>
        </w:rPr>
        <w:t>报价</w:t>
      </w:r>
      <w:r>
        <w:rPr>
          <w:rFonts w:hint="eastAsia" w:cs="仿宋" w:asciiTheme="minorEastAsia" w:hAnsiTheme="minorEastAsia" w:eastAsiaTheme="minorEastAsia"/>
          <w:bCs/>
          <w:sz w:val="28"/>
          <w:szCs w:val="28"/>
        </w:rPr>
        <w:t>供应商作出</w:t>
      </w:r>
      <w:r>
        <w:rPr>
          <w:rFonts w:hint="eastAsia" w:asciiTheme="minorEastAsia" w:hAnsiTheme="minorEastAsia" w:eastAsiaTheme="minorEastAsia"/>
          <w:bCs/>
          <w:sz w:val="28"/>
          <w:szCs w:val="28"/>
        </w:rPr>
        <w:t>澄清、说明、补正；</w:t>
      </w:r>
    </w:p>
    <w:p>
      <w:pPr>
        <w:adjustRightInd w:val="0"/>
        <w:snapToGrid w:val="0"/>
        <w:spacing w:line="560" w:lineRule="exact"/>
        <w:ind w:firstLine="560" w:firstLineChars="200"/>
        <w:rPr>
          <w:rFonts w:asciiTheme="minorEastAsia" w:hAnsiTheme="minorEastAsia" w:eastAsiaTheme="minorEastAsia"/>
          <w:bCs/>
          <w:sz w:val="28"/>
          <w:szCs w:val="28"/>
          <w:highlight w:val="none"/>
        </w:rPr>
      </w:pPr>
      <w:r>
        <w:rPr>
          <w:rFonts w:hint="eastAsia" w:asciiTheme="minorEastAsia" w:hAnsiTheme="minorEastAsia" w:eastAsiaTheme="minorEastAsia"/>
          <w:bCs/>
          <w:sz w:val="28"/>
          <w:szCs w:val="28"/>
          <w:lang w:val="zh-CN"/>
        </w:rPr>
        <w:t>（</w:t>
      </w:r>
      <w:r>
        <w:rPr>
          <w:rFonts w:asciiTheme="minorEastAsia" w:hAnsiTheme="minorEastAsia" w:eastAsiaTheme="minorEastAsia"/>
          <w:bCs/>
          <w:sz w:val="28"/>
          <w:szCs w:val="28"/>
          <w:lang w:val="zh-CN"/>
        </w:rPr>
        <w:t>4</w:t>
      </w:r>
      <w:r>
        <w:rPr>
          <w:rFonts w:hint="eastAsia" w:asciiTheme="minorEastAsia" w:hAnsiTheme="minorEastAsia" w:eastAsiaTheme="minorEastAsia"/>
          <w:bCs/>
          <w:sz w:val="28"/>
          <w:szCs w:val="28"/>
          <w:lang w:val="zh-CN"/>
        </w:rPr>
        <w:t>）</w:t>
      </w:r>
      <w:r>
        <w:rPr>
          <w:rFonts w:hint="eastAsia" w:cs="仿宋" w:asciiTheme="minorEastAsia" w:hAnsiTheme="minorEastAsia" w:eastAsiaTheme="minorEastAsia"/>
          <w:bCs/>
          <w:sz w:val="28"/>
          <w:szCs w:val="28"/>
        </w:rPr>
        <w:t>接</w:t>
      </w:r>
      <w:r>
        <w:rPr>
          <w:rFonts w:hint="eastAsia" w:cs="仿宋" w:asciiTheme="minorEastAsia" w:hAnsiTheme="minorEastAsia" w:eastAsiaTheme="minorEastAsia"/>
          <w:bCs/>
          <w:sz w:val="28"/>
          <w:szCs w:val="28"/>
          <w:highlight w:val="none"/>
        </w:rPr>
        <w:t>受</w:t>
      </w:r>
      <w:r>
        <w:rPr>
          <w:rFonts w:hint="eastAsia" w:cs="仿宋" w:asciiTheme="minorEastAsia" w:hAnsiTheme="minorEastAsia" w:eastAsiaTheme="minorEastAsia"/>
          <w:bCs/>
          <w:sz w:val="28"/>
          <w:szCs w:val="28"/>
          <w:highlight w:val="none"/>
          <w:lang w:eastAsia="zh-CN"/>
        </w:rPr>
        <w:t>报价</w:t>
      </w:r>
      <w:r>
        <w:rPr>
          <w:rFonts w:hint="eastAsia" w:cs="仿宋" w:asciiTheme="minorEastAsia" w:hAnsiTheme="minorEastAsia" w:eastAsiaTheme="minorEastAsia"/>
          <w:bCs/>
          <w:sz w:val="28"/>
          <w:szCs w:val="28"/>
          <w:highlight w:val="none"/>
        </w:rPr>
        <w:t>供应商主动提出的</w:t>
      </w:r>
      <w:r>
        <w:rPr>
          <w:rFonts w:hint="eastAsia" w:asciiTheme="minorEastAsia" w:hAnsiTheme="minorEastAsia" w:eastAsiaTheme="minorEastAsia"/>
          <w:bCs/>
          <w:sz w:val="28"/>
          <w:szCs w:val="28"/>
          <w:highlight w:val="none"/>
        </w:rPr>
        <w:t>澄清、说明、补正</w:t>
      </w:r>
      <w:r>
        <w:rPr>
          <w:rFonts w:hint="eastAsia" w:cs="仿宋" w:asciiTheme="minorEastAsia" w:hAnsiTheme="minorEastAsia" w:eastAsiaTheme="minorEastAsia"/>
          <w:bCs/>
          <w:sz w:val="28"/>
          <w:szCs w:val="28"/>
          <w:highlight w:val="none"/>
        </w:rPr>
        <w:t>。</w:t>
      </w:r>
    </w:p>
    <w:p>
      <w:pPr>
        <w:adjustRightInd w:val="0"/>
        <w:snapToGrid w:val="0"/>
        <w:spacing w:line="560" w:lineRule="exact"/>
        <w:ind w:firstLine="560" w:firstLineChars="200"/>
        <w:rPr>
          <w:rFonts w:asciiTheme="minorEastAsia" w:hAnsiTheme="minorEastAsia" w:eastAsiaTheme="minorEastAsia"/>
          <w:bCs/>
          <w:sz w:val="28"/>
          <w:szCs w:val="28"/>
          <w:highlight w:val="none"/>
        </w:rPr>
      </w:pPr>
      <w:r>
        <w:rPr>
          <w:rFonts w:asciiTheme="minorEastAsia" w:hAnsiTheme="minorEastAsia" w:eastAsiaTheme="minorEastAsia"/>
          <w:bCs/>
          <w:sz w:val="28"/>
          <w:szCs w:val="28"/>
          <w:highlight w:val="none"/>
        </w:rPr>
        <w:t>6</w:t>
      </w:r>
      <w:r>
        <w:rPr>
          <w:rFonts w:hint="eastAsia" w:asciiTheme="minorEastAsia" w:hAnsiTheme="minorEastAsia" w:eastAsiaTheme="minorEastAsia"/>
          <w:bCs/>
          <w:sz w:val="28"/>
          <w:szCs w:val="28"/>
          <w:highlight w:val="none"/>
          <w:lang w:val="en-US" w:eastAsia="zh-CN"/>
        </w:rPr>
        <w:t>.</w:t>
      </w:r>
      <w:r>
        <w:rPr>
          <w:rFonts w:hint="eastAsia" w:asciiTheme="minorEastAsia" w:hAnsiTheme="minorEastAsia" w:eastAsiaTheme="minorEastAsia"/>
          <w:bCs/>
          <w:sz w:val="28"/>
          <w:szCs w:val="28"/>
          <w:highlight w:val="none"/>
        </w:rPr>
        <w:t>评审委员会不得要求</w:t>
      </w:r>
      <w:r>
        <w:rPr>
          <w:rFonts w:hint="eastAsia" w:asciiTheme="minorEastAsia" w:hAnsiTheme="minorEastAsia" w:eastAsiaTheme="minorEastAsia"/>
          <w:bCs/>
          <w:sz w:val="28"/>
          <w:szCs w:val="28"/>
          <w:highlight w:val="none"/>
          <w:lang w:eastAsia="zh-CN"/>
        </w:rPr>
        <w:t>报价</w:t>
      </w:r>
      <w:r>
        <w:rPr>
          <w:rFonts w:hint="eastAsia" w:asciiTheme="minorEastAsia" w:hAnsiTheme="minorEastAsia" w:eastAsiaTheme="minorEastAsia"/>
          <w:bCs/>
          <w:sz w:val="28"/>
          <w:szCs w:val="28"/>
          <w:highlight w:val="none"/>
        </w:rPr>
        <w:t>供应商澄清下列内容：</w:t>
      </w:r>
    </w:p>
    <w:p>
      <w:pPr>
        <w:adjustRightInd w:val="0"/>
        <w:snapToGrid w:val="0"/>
        <w:spacing w:line="560" w:lineRule="exact"/>
        <w:ind w:firstLine="560" w:firstLineChars="200"/>
        <w:rPr>
          <w:rFonts w:cs="仿宋" w:asciiTheme="minorEastAsia" w:hAnsiTheme="minorEastAsia" w:eastAsiaTheme="minorEastAsia"/>
          <w:bCs/>
          <w:sz w:val="28"/>
          <w:szCs w:val="28"/>
          <w:highlight w:val="none"/>
        </w:rPr>
      </w:pPr>
      <w:r>
        <w:rPr>
          <w:rFonts w:hint="eastAsia" w:asciiTheme="minorEastAsia" w:hAnsiTheme="minorEastAsia" w:eastAsiaTheme="minorEastAsia"/>
          <w:bCs/>
          <w:sz w:val="28"/>
          <w:szCs w:val="28"/>
          <w:highlight w:val="none"/>
          <w:lang w:val="zh-CN"/>
        </w:rPr>
        <w:t>（</w:t>
      </w:r>
      <w:r>
        <w:rPr>
          <w:rFonts w:asciiTheme="minorEastAsia" w:hAnsiTheme="minorEastAsia" w:eastAsiaTheme="minorEastAsia"/>
          <w:bCs/>
          <w:sz w:val="28"/>
          <w:szCs w:val="28"/>
          <w:highlight w:val="none"/>
          <w:lang w:val="zh-CN"/>
        </w:rPr>
        <w:t>1）</w:t>
      </w:r>
      <w:r>
        <w:rPr>
          <w:rFonts w:hint="eastAsia" w:cs="仿宋" w:asciiTheme="minorEastAsia" w:hAnsiTheme="minorEastAsia" w:eastAsiaTheme="minorEastAsia"/>
          <w:bCs/>
          <w:sz w:val="28"/>
          <w:szCs w:val="28"/>
          <w:highlight w:val="none"/>
          <w:lang w:eastAsia="zh-CN"/>
        </w:rPr>
        <w:t>报价</w:t>
      </w:r>
      <w:r>
        <w:rPr>
          <w:rFonts w:hint="eastAsia" w:cs="仿宋" w:asciiTheme="minorEastAsia" w:hAnsiTheme="minorEastAsia" w:eastAsiaTheme="minorEastAsia"/>
          <w:bCs/>
          <w:sz w:val="28"/>
          <w:szCs w:val="28"/>
          <w:highlight w:val="none"/>
        </w:rPr>
        <w:t>时未宣读的投标价格、价格折扣、</w:t>
      </w:r>
      <w:r>
        <w:rPr>
          <w:rFonts w:hint="eastAsia" w:cs="仿宋" w:asciiTheme="minorEastAsia" w:hAnsiTheme="minorEastAsia" w:eastAsiaTheme="minorEastAsia"/>
          <w:bCs/>
          <w:sz w:val="28"/>
          <w:szCs w:val="28"/>
          <w:highlight w:val="none"/>
          <w:lang w:eastAsia="zh-CN"/>
        </w:rPr>
        <w:t>谈判</w:t>
      </w:r>
      <w:r>
        <w:rPr>
          <w:rFonts w:hint="eastAsia" w:cs="仿宋" w:asciiTheme="minorEastAsia" w:hAnsiTheme="minorEastAsia" w:eastAsiaTheme="minorEastAsia"/>
          <w:bCs/>
          <w:sz w:val="28"/>
          <w:szCs w:val="28"/>
          <w:highlight w:val="none"/>
        </w:rPr>
        <w:t>文件允许提供的备选</w:t>
      </w:r>
      <w:r>
        <w:rPr>
          <w:rFonts w:hint="eastAsia" w:cs="仿宋" w:asciiTheme="minorEastAsia" w:hAnsiTheme="minorEastAsia" w:eastAsiaTheme="minorEastAsia"/>
          <w:bCs/>
          <w:sz w:val="28"/>
          <w:szCs w:val="28"/>
          <w:highlight w:val="none"/>
          <w:lang w:eastAsia="zh-CN"/>
        </w:rPr>
        <w:t>报价</w:t>
      </w:r>
      <w:r>
        <w:rPr>
          <w:rFonts w:hint="eastAsia" w:cs="仿宋" w:asciiTheme="minorEastAsia" w:hAnsiTheme="minorEastAsia" w:eastAsiaTheme="minorEastAsia"/>
          <w:bCs/>
          <w:sz w:val="28"/>
          <w:szCs w:val="28"/>
          <w:highlight w:val="none"/>
        </w:rPr>
        <w:t>方案等实质性内容；</w:t>
      </w:r>
    </w:p>
    <w:p>
      <w:pPr>
        <w:adjustRightInd w:val="0"/>
        <w:snapToGrid w:val="0"/>
        <w:spacing w:line="560" w:lineRule="exact"/>
        <w:ind w:firstLine="560" w:firstLineChars="200"/>
        <w:rPr>
          <w:rFonts w:cs="仿宋" w:asciiTheme="minorEastAsia" w:hAnsiTheme="minorEastAsia" w:eastAsiaTheme="minorEastAsia"/>
          <w:bCs/>
          <w:sz w:val="28"/>
          <w:szCs w:val="28"/>
          <w:highlight w:val="none"/>
        </w:rPr>
      </w:pPr>
      <w:r>
        <w:rPr>
          <w:rFonts w:hint="eastAsia" w:asciiTheme="minorEastAsia" w:hAnsiTheme="minorEastAsia" w:eastAsiaTheme="minorEastAsia"/>
          <w:bCs/>
          <w:sz w:val="28"/>
          <w:szCs w:val="28"/>
          <w:highlight w:val="none"/>
          <w:lang w:val="zh-CN"/>
        </w:rPr>
        <w:t>（</w:t>
      </w:r>
      <w:r>
        <w:rPr>
          <w:rFonts w:asciiTheme="minorEastAsia" w:hAnsiTheme="minorEastAsia" w:eastAsiaTheme="minorEastAsia"/>
          <w:bCs/>
          <w:sz w:val="28"/>
          <w:szCs w:val="28"/>
          <w:highlight w:val="none"/>
          <w:lang w:val="zh-CN"/>
        </w:rPr>
        <w:t>2</w:t>
      </w:r>
      <w:r>
        <w:rPr>
          <w:rFonts w:hint="eastAsia" w:asciiTheme="minorEastAsia" w:hAnsiTheme="minorEastAsia" w:eastAsiaTheme="minorEastAsia"/>
          <w:bCs/>
          <w:sz w:val="28"/>
          <w:szCs w:val="28"/>
          <w:highlight w:val="none"/>
          <w:lang w:val="zh-CN"/>
        </w:rPr>
        <w:t>）</w:t>
      </w:r>
      <w:r>
        <w:rPr>
          <w:rFonts w:hint="eastAsia" w:cs="仿宋" w:asciiTheme="minorEastAsia" w:hAnsiTheme="minorEastAsia" w:eastAsiaTheme="minorEastAsia"/>
          <w:bCs/>
          <w:sz w:val="28"/>
          <w:szCs w:val="28"/>
          <w:highlight w:val="none"/>
          <w:lang w:eastAsia="zh-CN"/>
        </w:rPr>
        <w:t>报价</w:t>
      </w:r>
      <w:r>
        <w:rPr>
          <w:rFonts w:hint="eastAsia" w:cs="仿宋" w:asciiTheme="minorEastAsia" w:hAnsiTheme="minorEastAsia" w:eastAsiaTheme="minorEastAsia"/>
          <w:bCs/>
          <w:sz w:val="28"/>
          <w:szCs w:val="28"/>
          <w:highlight w:val="none"/>
        </w:rPr>
        <w:t>文件中不响应</w:t>
      </w:r>
      <w:r>
        <w:rPr>
          <w:rFonts w:hint="eastAsia" w:cs="仿宋" w:asciiTheme="minorEastAsia" w:hAnsiTheme="minorEastAsia" w:eastAsiaTheme="minorEastAsia"/>
          <w:bCs/>
          <w:sz w:val="28"/>
          <w:szCs w:val="28"/>
          <w:highlight w:val="none"/>
          <w:lang w:eastAsia="zh-CN"/>
        </w:rPr>
        <w:t>谈判</w:t>
      </w:r>
      <w:r>
        <w:rPr>
          <w:rFonts w:hint="eastAsia" w:cs="仿宋" w:asciiTheme="minorEastAsia" w:hAnsiTheme="minorEastAsia" w:eastAsiaTheme="minorEastAsia"/>
          <w:bCs/>
          <w:sz w:val="28"/>
          <w:szCs w:val="28"/>
          <w:highlight w:val="none"/>
        </w:rPr>
        <w:t>文件规定的技术参数指标和商务要求；</w:t>
      </w:r>
    </w:p>
    <w:p>
      <w:pPr>
        <w:adjustRightInd w:val="0"/>
        <w:snapToGrid w:val="0"/>
        <w:spacing w:line="560" w:lineRule="exact"/>
        <w:ind w:firstLine="560" w:firstLineChars="200"/>
        <w:rPr>
          <w:rFonts w:hint="eastAsia" w:asciiTheme="minorEastAsia" w:hAnsiTheme="minorEastAsia" w:eastAsiaTheme="minorEastAsia"/>
          <w:bCs/>
          <w:sz w:val="28"/>
          <w:szCs w:val="28"/>
          <w:highlight w:val="none"/>
          <w:lang w:val="zh-CN"/>
        </w:rPr>
      </w:pPr>
      <w:r>
        <w:rPr>
          <w:rFonts w:hint="eastAsia" w:asciiTheme="minorEastAsia" w:hAnsiTheme="minorEastAsia" w:eastAsiaTheme="minorEastAsia"/>
          <w:bCs/>
          <w:sz w:val="28"/>
          <w:szCs w:val="28"/>
          <w:highlight w:val="none"/>
          <w:lang w:val="zh-CN"/>
        </w:rPr>
        <w:t>（3）报价文件中未提供的资格性、符合性审查要求的证明材料。</w:t>
      </w:r>
    </w:p>
    <w:p/>
    <w:p>
      <w:pPr>
        <w:spacing w:line="560" w:lineRule="exact"/>
        <w:ind w:firstLine="562" w:firstLineChars="200"/>
        <w:rPr>
          <w:rFonts w:hint="eastAsia" w:ascii="Times New Roman" w:hAnsi="Times New Roman" w:eastAsia="宋体" w:cs="Times New Roman"/>
          <w:b/>
          <w:bCs/>
          <w:sz w:val="28"/>
          <w:szCs w:val="28"/>
        </w:rPr>
      </w:pPr>
      <w:r>
        <w:rPr>
          <w:rFonts w:hint="eastAsia" w:ascii="Times New Roman" w:hAnsi="Times New Roman" w:eastAsia="宋体" w:cs="Times New Roman"/>
          <w:b/>
          <w:bCs/>
          <w:sz w:val="28"/>
          <w:szCs w:val="28"/>
        </w:rPr>
        <w:t>一、价格文件组成（1正、2副，共3份），封面编制内容包含项目名称，项目编号，包号（如无分包统一填写01），报价文件-价格文件-正本/副本，报价人全称并加盖公章，法定代表人或授权代表签字或盖章</w:t>
      </w:r>
    </w:p>
    <w:tbl>
      <w:tblPr>
        <w:tblStyle w:val="44"/>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
        <w:gridCol w:w="7463"/>
        <w:gridCol w:w="10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8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b/>
              </w:rPr>
            </w:pPr>
            <w:r>
              <w:rPr>
                <w:rFonts w:hint="eastAsia" w:ascii="宋体" w:hAnsi="宋体"/>
                <w:b/>
              </w:rPr>
              <w:t>序号</w:t>
            </w:r>
          </w:p>
        </w:tc>
        <w:tc>
          <w:tcPr>
            <w:tcW w:w="746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b/>
              </w:rPr>
            </w:pPr>
            <w:r>
              <w:rPr>
                <w:rFonts w:hint="eastAsia" w:ascii="宋体" w:hAnsi="宋体"/>
                <w:b/>
              </w:rPr>
              <w:t>内容</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b/>
              </w:rPr>
            </w:pPr>
            <w:r>
              <w:rPr>
                <w:rFonts w:hint="eastAsia" w:ascii="宋体" w:hAnsi="宋体"/>
                <w:b/>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852"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firstLine="0"/>
              <w:jc w:val="center"/>
              <w:rPr>
                <w:rFonts w:hint="eastAsia" w:ascii="宋体" w:hAnsi="宋体"/>
                <w:sz w:val="24"/>
                <w:szCs w:val="24"/>
                <w:lang w:eastAsia="zh-CN"/>
              </w:rPr>
            </w:pPr>
            <w:r>
              <w:rPr>
                <w:rFonts w:hint="eastAsia" w:ascii="宋体" w:hAnsi="宋体"/>
                <w:sz w:val="24"/>
                <w:szCs w:val="24"/>
                <w:lang w:eastAsia="zh-CN"/>
              </w:rPr>
              <w:t>1</w:t>
            </w:r>
          </w:p>
        </w:tc>
        <w:tc>
          <w:tcPr>
            <w:tcW w:w="7463"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rPr>
                <w:rFonts w:ascii="宋体" w:hAnsi="宋体"/>
              </w:rPr>
            </w:pPr>
            <w:r>
              <w:rPr>
                <w:rFonts w:hint="eastAsia" w:ascii="宋体" w:hAnsi="宋体"/>
                <w:lang w:eastAsia="zh-CN"/>
              </w:rPr>
              <w:t>报价</w:t>
            </w:r>
            <w:r>
              <w:rPr>
                <w:rFonts w:hint="eastAsia" w:ascii="宋体" w:hAnsi="宋体"/>
              </w:rPr>
              <w:t>一览表</w:t>
            </w:r>
          </w:p>
        </w:tc>
        <w:tc>
          <w:tcPr>
            <w:tcW w:w="1074"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ascii="宋体" w:hAnsi="宋体"/>
              </w:rPr>
            </w:pPr>
            <w:r>
              <w:rPr>
                <w:rFonts w:hint="eastAsia" w:ascii="宋体" w:hAnsi="宋体"/>
              </w:rPr>
              <w:t>附件1-1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852"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firstLine="0"/>
              <w:jc w:val="center"/>
              <w:rPr>
                <w:rFonts w:ascii="宋体" w:hAnsi="宋体"/>
                <w:sz w:val="24"/>
                <w:szCs w:val="24"/>
                <w:lang w:eastAsia="zh-CN"/>
              </w:rPr>
            </w:pPr>
            <w:r>
              <w:rPr>
                <w:rFonts w:hint="eastAsia" w:ascii="宋体" w:hAnsi="宋体"/>
                <w:sz w:val="24"/>
                <w:szCs w:val="24"/>
                <w:lang w:eastAsia="zh-CN"/>
              </w:rPr>
              <w:t>2</w:t>
            </w:r>
          </w:p>
        </w:tc>
        <w:tc>
          <w:tcPr>
            <w:tcW w:w="7463"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rPr>
                <w:rFonts w:hint="eastAsia" w:ascii="宋体" w:hAnsi="宋体" w:eastAsia="宋体" w:cs="Times New Roman"/>
                <w:kern w:val="2"/>
                <w:sz w:val="21"/>
                <w:szCs w:val="24"/>
                <w:lang w:val="en-US" w:eastAsia="zh-CN" w:bidi="ar-SA"/>
              </w:rPr>
            </w:pPr>
            <w:r>
              <w:rPr>
                <w:rFonts w:hint="eastAsia" w:ascii="宋体" w:hAnsi="宋体"/>
              </w:rPr>
              <w:t>价格构成表</w:t>
            </w:r>
          </w:p>
        </w:tc>
        <w:tc>
          <w:tcPr>
            <w:tcW w:w="1074"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rPr>
              <w:t>附件</w:t>
            </w:r>
            <w:r>
              <w:rPr>
                <w:rFonts w:hint="eastAsia" w:ascii="宋体" w:hAnsi="宋体"/>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852"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firstLine="0"/>
              <w:jc w:val="center"/>
              <w:rPr>
                <w:rFonts w:ascii="宋体" w:hAnsi="宋体"/>
                <w:sz w:val="24"/>
                <w:szCs w:val="24"/>
                <w:lang w:eastAsia="zh-CN"/>
              </w:rPr>
            </w:pPr>
            <w:r>
              <w:rPr>
                <w:rFonts w:hint="eastAsia" w:ascii="宋体" w:hAnsi="宋体"/>
                <w:sz w:val="24"/>
                <w:szCs w:val="24"/>
                <w:lang w:eastAsia="zh-CN"/>
              </w:rPr>
              <w:t>3</w:t>
            </w:r>
          </w:p>
        </w:tc>
        <w:tc>
          <w:tcPr>
            <w:tcW w:w="7463"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rPr>
                <w:rFonts w:hint="eastAsia" w:ascii="宋体" w:hAnsi="宋体" w:eastAsia="宋体" w:cs="Times New Roman"/>
                <w:kern w:val="2"/>
                <w:sz w:val="21"/>
                <w:szCs w:val="24"/>
                <w:lang w:val="en-US" w:eastAsia="zh-CN" w:bidi="ar-SA"/>
              </w:rPr>
            </w:pPr>
            <w:r>
              <w:rPr>
                <w:rFonts w:ascii="宋体" w:hAnsi="宋体"/>
              </w:rPr>
              <w:t>货物材料、部件、工具价格明细表</w:t>
            </w:r>
            <w:r>
              <w:rPr>
                <w:rFonts w:hint="eastAsia" w:ascii="宋体" w:hAnsi="宋体"/>
              </w:rPr>
              <w:t>（生产企业必须提供）</w:t>
            </w:r>
            <w:r>
              <w:rPr>
                <w:rFonts w:hint="eastAsia" w:ascii="宋体" w:hAnsi="宋体"/>
                <w:lang w:eastAsia="zh-CN"/>
              </w:rPr>
              <w:t>（</w:t>
            </w:r>
            <w:r>
              <w:rPr>
                <w:rFonts w:hint="eastAsia" w:ascii="宋体" w:hAnsi="宋体"/>
                <w:lang w:val="en-US" w:eastAsia="zh-CN"/>
              </w:rPr>
              <w:t>如有</w:t>
            </w:r>
            <w:r>
              <w:rPr>
                <w:rFonts w:hint="eastAsia" w:ascii="宋体" w:hAnsi="宋体"/>
                <w:lang w:eastAsia="zh-CN"/>
              </w:rPr>
              <w:t>）</w:t>
            </w:r>
          </w:p>
        </w:tc>
        <w:tc>
          <w:tcPr>
            <w:tcW w:w="1074"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rPr>
              <w:t>附件</w:t>
            </w:r>
            <w:r>
              <w:rPr>
                <w:rFonts w:hint="eastAsia" w:ascii="宋体" w:hAnsi="宋体"/>
                <w:lang w:val="en-US" w:eastAsia="zh-CN"/>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852"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firstLine="0"/>
              <w:jc w:val="center"/>
              <w:rPr>
                <w:rFonts w:ascii="宋体" w:hAnsi="宋体"/>
                <w:sz w:val="24"/>
                <w:szCs w:val="24"/>
                <w:lang w:eastAsia="zh-CN"/>
              </w:rPr>
            </w:pPr>
            <w:r>
              <w:rPr>
                <w:rFonts w:hint="eastAsia" w:ascii="宋体" w:hAnsi="宋体"/>
                <w:sz w:val="24"/>
                <w:szCs w:val="24"/>
                <w:lang w:eastAsia="zh-CN"/>
              </w:rPr>
              <w:t>4</w:t>
            </w:r>
          </w:p>
        </w:tc>
        <w:tc>
          <w:tcPr>
            <w:tcW w:w="7463"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rPr>
                <w:rFonts w:hint="eastAsia" w:ascii="宋体" w:hAnsi="宋体" w:eastAsia="宋体" w:cs="Times New Roman"/>
                <w:kern w:val="2"/>
                <w:sz w:val="21"/>
                <w:szCs w:val="24"/>
                <w:lang w:val="en-US" w:eastAsia="zh-CN" w:bidi="ar-SA"/>
              </w:rPr>
            </w:pPr>
            <w:r>
              <w:rPr>
                <w:rFonts w:ascii="宋体" w:hAnsi="宋体"/>
              </w:rPr>
              <w:t>其他与价格有关的资料、文件</w:t>
            </w:r>
            <w:r>
              <w:rPr>
                <w:rFonts w:hint="eastAsia" w:ascii="宋体" w:hAnsi="宋体"/>
              </w:rPr>
              <w:t>（如有）</w:t>
            </w:r>
          </w:p>
        </w:tc>
        <w:tc>
          <w:tcPr>
            <w:tcW w:w="1074"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rPr>
              <w:t>附件</w:t>
            </w:r>
            <w:r>
              <w:rPr>
                <w:rFonts w:hint="eastAsia" w:ascii="宋体" w:hAnsi="宋体"/>
                <w:lang w:val="en-US" w:eastAsia="zh-CN"/>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852"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firstLine="0"/>
              <w:jc w:val="center"/>
              <w:rPr>
                <w:rFonts w:hint="eastAsia" w:ascii="宋体" w:hAnsi="宋体"/>
                <w:sz w:val="24"/>
                <w:szCs w:val="24"/>
                <w:lang w:eastAsia="zh-CN"/>
              </w:rPr>
            </w:pPr>
            <w:r>
              <w:rPr>
                <w:rFonts w:hint="eastAsia" w:ascii="宋体" w:hAnsi="宋体"/>
                <w:sz w:val="24"/>
                <w:szCs w:val="24"/>
                <w:lang w:eastAsia="zh-CN"/>
              </w:rPr>
              <w:t>5</w:t>
            </w:r>
          </w:p>
        </w:tc>
        <w:tc>
          <w:tcPr>
            <w:tcW w:w="7463"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rPr>
                <w:rFonts w:hint="eastAsia" w:ascii="宋体" w:hAnsi="宋体"/>
              </w:rPr>
            </w:pPr>
            <w:r>
              <w:rPr>
                <w:rFonts w:hint="eastAsia" w:ascii="宋体" w:hAnsi="宋体"/>
              </w:rPr>
              <w:t>报价承诺函</w:t>
            </w:r>
          </w:p>
        </w:tc>
        <w:tc>
          <w:tcPr>
            <w:tcW w:w="1074"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hint="default" w:ascii="宋体" w:hAnsi="宋体" w:eastAsia="宋体"/>
                <w:lang w:val="en-US" w:eastAsia="zh-CN"/>
              </w:rPr>
            </w:pPr>
            <w:r>
              <w:rPr>
                <w:rFonts w:hint="eastAsia" w:ascii="宋体" w:hAnsi="宋体"/>
              </w:rPr>
              <w:t>附件</w:t>
            </w:r>
            <w:r>
              <w:rPr>
                <w:rFonts w:hint="eastAsia" w:ascii="宋体" w:hAnsi="宋体"/>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852"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firstLine="0"/>
              <w:jc w:val="center"/>
              <w:rPr>
                <w:rFonts w:hint="eastAsia" w:ascii="宋体" w:hAnsi="宋体"/>
                <w:sz w:val="24"/>
                <w:szCs w:val="24"/>
                <w:lang w:eastAsia="zh-CN"/>
              </w:rPr>
            </w:pPr>
            <w:r>
              <w:rPr>
                <w:rFonts w:hint="eastAsia" w:ascii="宋体" w:hAnsi="宋体"/>
                <w:sz w:val="24"/>
                <w:szCs w:val="24"/>
                <w:lang w:eastAsia="zh-CN"/>
              </w:rPr>
              <w:t>6</w:t>
            </w:r>
          </w:p>
        </w:tc>
        <w:tc>
          <w:tcPr>
            <w:tcW w:w="7463"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rPr>
                <w:rFonts w:hint="eastAsia" w:ascii="宋体" w:hAnsi="宋体"/>
              </w:rPr>
            </w:pPr>
            <w:r>
              <w:rPr>
                <w:rFonts w:hint="eastAsia" w:ascii="宋体" w:hAnsi="宋体"/>
              </w:rPr>
              <w:t>分项报价表</w:t>
            </w:r>
          </w:p>
        </w:tc>
        <w:tc>
          <w:tcPr>
            <w:tcW w:w="1074"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hint="default" w:ascii="宋体" w:hAnsi="宋体" w:eastAsia="宋体"/>
                <w:lang w:val="en-US" w:eastAsia="zh-CN"/>
              </w:rPr>
            </w:pPr>
            <w:r>
              <w:rPr>
                <w:rFonts w:hint="eastAsia" w:ascii="宋体" w:hAnsi="宋体"/>
              </w:rPr>
              <w:t>附件</w:t>
            </w:r>
            <w:r>
              <w:rPr>
                <w:rFonts w:hint="eastAsia" w:ascii="宋体" w:hAnsi="宋体"/>
                <w:lang w:val="en-US" w:eastAsia="zh-CN"/>
              </w:rPr>
              <w:t>1-6</w:t>
            </w:r>
          </w:p>
        </w:tc>
      </w:tr>
    </w:tbl>
    <w:p>
      <w:pPr>
        <w:spacing w:line="560" w:lineRule="exact"/>
        <w:ind w:firstLine="562" w:firstLineChars="200"/>
        <w:rPr>
          <w:rFonts w:hint="eastAsia" w:ascii="Times New Roman" w:hAnsi="Times New Roman" w:eastAsia="宋体" w:cs="Times New Roman"/>
          <w:b/>
          <w:bCs/>
          <w:sz w:val="28"/>
          <w:szCs w:val="28"/>
        </w:rPr>
      </w:pPr>
      <w:r>
        <w:rPr>
          <w:rFonts w:hint="eastAsia" w:ascii="Times New Roman" w:hAnsi="Times New Roman" w:eastAsia="宋体" w:cs="Times New Roman"/>
          <w:b/>
          <w:bCs/>
          <w:sz w:val="28"/>
          <w:szCs w:val="28"/>
        </w:rPr>
        <w:t>二、</w:t>
      </w:r>
      <w:r>
        <w:rPr>
          <w:rFonts w:hint="eastAsia" w:ascii="Times New Roman" w:hAnsi="Times New Roman" w:eastAsia="宋体" w:cs="Times New Roman"/>
          <w:b/>
          <w:bCs/>
          <w:sz w:val="28"/>
          <w:szCs w:val="28"/>
          <w:lang w:eastAsia="zh-CN"/>
        </w:rPr>
        <w:t>商务技术文件</w:t>
      </w:r>
      <w:r>
        <w:rPr>
          <w:rFonts w:hint="eastAsia" w:ascii="Times New Roman" w:hAnsi="Times New Roman" w:eastAsia="宋体" w:cs="Times New Roman"/>
          <w:b/>
          <w:bCs/>
          <w:sz w:val="28"/>
          <w:szCs w:val="28"/>
        </w:rPr>
        <w:t>组成（1正、2副，共3份）；封面内容包含项目名称，项目编号，包号（如无分包统一填写01），报价文件-</w:t>
      </w:r>
      <w:r>
        <w:rPr>
          <w:rFonts w:hint="eastAsia" w:ascii="Times New Roman" w:hAnsi="Times New Roman" w:eastAsia="宋体" w:cs="Times New Roman"/>
          <w:b/>
          <w:bCs/>
          <w:sz w:val="28"/>
          <w:szCs w:val="28"/>
          <w:lang w:eastAsia="zh-CN"/>
        </w:rPr>
        <w:t>商务技术文件</w:t>
      </w:r>
      <w:r>
        <w:rPr>
          <w:rFonts w:hint="eastAsia" w:ascii="Times New Roman" w:hAnsi="Times New Roman" w:eastAsia="宋体" w:cs="Times New Roman"/>
          <w:b/>
          <w:bCs/>
          <w:sz w:val="28"/>
          <w:szCs w:val="28"/>
        </w:rPr>
        <w:t>-正本/副本，报价人全称并加盖公章，法定代表人或授权代表签字或盖章</w:t>
      </w:r>
    </w:p>
    <w:tbl>
      <w:tblPr>
        <w:tblStyle w:val="44"/>
        <w:tblpPr w:leftFromText="180" w:rightFromText="180" w:vertAnchor="text" w:horzAnchor="page" w:tblpX="1523" w:tblpY="19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7153"/>
        <w:gridCol w:w="13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b/>
              </w:rPr>
            </w:pPr>
            <w:r>
              <w:rPr>
                <w:rFonts w:hint="eastAsia" w:ascii="宋体" w:hAnsi="宋体"/>
                <w:b/>
              </w:rPr>
              <w:t>序号</w:t>
            </w: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b/>
              </w:rPr>
            </w:pPr>
            <w:r>
              <w:rPr>
                <w:rFonts w:hint="eastAsia" w:ascii="宋体" w:hAnsi="宋体"/>
                <w:b/>
              </w:rPr>
              <w:t>内容</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b/>
              </w:rPr>
            </w:pPr>
            <w:r>
              <w:rPr>
                <w:rFonts w:hint="eastAsia" w:ascii="宋体" w:hAnsi="宋体"/>
                <w:b/>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eastAsia="宋体"/>
                <w:b/>
                <w:lang w:val="en-US" w:eastAsia="zh-CN"/>
              </w:rPr>
            </w:pPr>
            <w:r>
              <w:rPr>
                <w:rFonts w:hint="eastAsia" w:ascii="宋体" w:hAnsi="宋体"/>
                <w:b/>
                <w:lang w:val="en-US" w:eastAsia="zh-CN"/>
              </w:rPr>
              <w:t>1</w:t>
            </w: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rPr>
            </w:pPr>
            <w:r>
              <w:rPr>
                <w:rFonts w:hint="eastAsia"/>
                <w:b w:val="0"/>
                <w:bCs/>
              </w:rPr>
              <w:t>符合性审查索引表</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lang w:val="en-US" w:eastAsia="zh-CN"/>
              </w:rPr>
            </w:pPr>
            <w:r>
              <w:rPr>
                <w:rFonts w:hint="eastAsia" w:ascii="宋体" w:hAnsi="宋体"/>
                <w:lang w:val="en-US" w:eastAsia="zh-CN"/>
              </w:rPr>
              <w:t>附件2-1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eastAsia="宋体"/>
                <w:b/>
                <w:lang w:eastAsia="zh-CN"/>
              </w:rPr>
            </w:pPr>
            <w:r>
              <w:rPr>
                <w:rFonts w:hint="eastAsia" w:ascii="宋体" w:hAnsi="宋体"/>
                <w:b/>
                <w:lang w:val="en-US" w:eastAsia="zh-CN"/>
              </w:rPr>
              <w:t>2</w:t>
            </w: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ascii="宋体" w:hAnsi="宋体"/>
              </w:rPr>
            </w:pPr>
            <w:r>
              <w:rPr>
                <w:rFonts w:hint="eastAsia"/>
              </w:rPr>
              <w:t>商务评审索引表</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lang w:val="en-US"/>
              </w:rPr>
            </w:pPr>
            <w:r>
              <w:rPr>
                <w:rFonts w:hint="eastAsia" w:ascii="宋体" w:hAnsi="宋体"/>
                <w:lang w:val="en-US" w:eastAsia="zh-CN"/>
              </w:rPr>
              <w:t>附件2-2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leftChars="0" w:firstLine="240" w:firstLineChars="100"/>
              <w:jc w:val="both"/>
              <w:rPr>
                <w:rFonts w:hint="default" w:ascii="宋体" w:hAnsi="宋体"/>
                <w:sz w:val="24"/>
                <w:szCs w:val="24"/>
                <w:lang w:val="en-US" w:eastAsia="zh-CN"/>
              </w:rPr>
            </w:pPr>
            <w:r>
              <w:rPr>
                <w:rFonts w:hint="eastAsia" w:ascii="宋体" w:hAnsi="宋体"/>
                <w:sz w:val="24"/>
                <w:szCs w:val="24"/>
                <w:lang w:val="en-US" w:eastAsia="zh-CN"/>
              </w:rPr>
              <w:t>3</w:t>
            </w: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rPr>
            </w:pPr>
            <w:r>
              <w:rPr>
                <w:rFonts w:hint="eastAsia" w:ascii="宋体" w:hAnsi="宋体"/>
              </w:rPr>
              <w:t>技术评审索引表</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rPr>
            </w:pPr>
            <w:r>
              <w:rPr>
                <w:rFonts w:hint="eastAsia" w:ascii="宋体" w:hAnsi="宋体"/>
                <w:lang w:val="en-US" w:eastAsia="zh-CN"/>
              </w:rPr>
              <w:t>附件2-3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firstLine="0"/>
              <w:jc w:val="center"/>
              <w:rPr>
                <w:rFonts w:hint="eastAsia" w:ascii="宋体" w:hAnsi="宋体"/>
                <w:sz w:val="24"/>
                <w:szCs w:val="24"/>
                <w:lang w:eastAsia="zh-CN"/>
              </w:rPr>
            </w:pPr>
            <w:r>
              <w:rPr>
                <w:rFonts w:hint="eastAsia" w:ascii="宋体" w:hAnsi="宋体"/>
                <w:sz w:val="24"/>
                <w:szCs w:val="24"/>
                <w:lang w:val="en-US" w:eastAsia="zh-CN"/>
              </w:rPr>
              <w:t>4</w:t>
            </w: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ascii="宋体" w:hAnsi="宋体"/>
              </w:rPr>
            </w:pPr>
            <w:r>
              <w:rPr>
                <w:rFonts w:hint="eastAsia" w:ascii="宋体" w:hAnsi="宋体"/>
                <w:lang w:eastAsia="zh-CN"/>
              </w:rPr>
              <w:t>谈判</w:t>
            </w:r>
            <w:r>
              <w:rPr>
                <w:rFonts w:hint="eastAsia" w:ascii="宋体" w:hAnsi="宋体"/>
              </w:rPr>
              <w:t>函</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rPr>
            </w:pPr>
            <w:r>
              <w:rPr>
                <w:rFonts w:hint="eastAsia" w:ascii="宋体" w:hAnsi="宋体"/>
                <w:lang w:val="en-US" w:eastAsia="zh-CN"/>
              </w:rPr>
              <w:t>附件2-4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firstLine="0"/>
              <w:jc w:val="center"/>
              <w:rPr>
                <w:rFonts w:hint="eastAsia" w:ascii="宋体" w:hAnsi="宋体"/>
                <w:sz w:val="24"/>
                <w:szCs w:val="24"/>
                <w:lang w:eastAsia="zh-CN"/>
              </w:rPr>
            </w:pPr>
            <w:r>
              <w:rPr>
                <w:rFonts w:hint="eastAsia" w:ascii="宋体" w:hAnsi="宋体"/>
                <w:sz w:val="24"/>
                <w:szCs w:val="24"/>
                <w:lang w:val="en-US" w:eastAsia="zh-CN"/>
              </w:rPr>
              <w:t>5</w:t>
            </w: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ascii="宋体" w:hAnsi="宋体"/>
              </w:rPr>
            </w:pPr>
            <w:r>
              <w:rPr>
                <w:rFonts w:hint="eastAsia" w:ascii="宋体" w:hAnsi="宋体"/>
              </w:rPr>
              <w:t>商务条款响应偏离表</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rPr>
            </w:pPr>
            <w:r>
              <w:rPr>
                <w:rFonts w:hint="eastAsia" w:ascii="宋体" w:hAnsi="宋体"/>
                <w:lang w:val="en-US" w:eastAsia="zh-CN"/>
              </w:rPr>
              <w:t>附件2-5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firstLine="0"/>
              <w:jc w:val="center"/>
              <w:rPr>
                <w:rFonts w:hint="eastAsia" w:ascii="宋体" w:hAnsi="宋体"/>
                <w:sz w:val="24"/>
                <w:szCs w:val="24"/>
                <w:lang w:eastAsia="zh-CN"/>
              </w:rPr>
            </w:pPr>
            <w:r>
              <w:rPr>
                <w:rFonts w:hint="eastAsia" w:ascii="宋体" w:hAnsi="宋体"/>
                <w:sz w:val="24"/>
                <w:szCs w:val="24"/>
                <w:lang w:val="en-US" w:eastAsia="zh-CN"/>
              </w:rPr>
              <w:t>6</w:t>
            </w: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ascii="宋体" w:hAnsi="宋体"/>
              </w:rPr>
            </w:pPr>
            <w:r>
              <w:rPr>
                <w:rFonts w:hint="eastAsia" w:ascii="宋体" w:hAnsi="宋体"/>
              </w:rPr>
              <w:t>技术指标参数响应偏离表</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rPr>
            </w:pPr>
            <w:r>
              <w:rPr>
                <w:rFonts w:hint="eastAsia" w:ascii="宋体" w:hAnsi="宋体"/>
                <w:lang w:val="en-US" w:eastAsia="zh-CN"/>
              </w:rPr>
              <w:t>附件2-6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firstLine="0"/>
              <w:jc w:val="center"/>
              <w:rPr>
                <w:rFonts w:hint="eastAsia" w:ascii="宋体" w:hAnsi="宋体"/>
                <w:sz w:val="24"/>
                <w:szCs w:val="24"/>
                <w:lang w:eastAsia="zh-CN"/>
              </w:rPr>
            </w:pPr>
            <w:r>
              <w:rPr>
                <w:rFonts w:hint="eastAsia" w:ascii="宋体" w:hAnsi="宋体"/>
                <w:sz w:val="24"/>
                <w:szCs w:val="24"/>
                <w:lang w:val="en-US" w:eastAsia="zh-CN"/>
              </w:rPr>
              <w:t>7</w:t>
            </w: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ascii="宋体" w:hAnsi="宋体"/>
              </w:rPr>
            </w:pPr>
            <w:r>
              <w:rPr>
                <w:rFonts w:ascii="宋体" w:hAnsi="宋体"/>
              </w:rPr>
              <w:t>交货清单</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rPr>
            </w:pPr>
            <w:r>
              <w:rPr>
                <w:rFonts w:hint="eastAsia" w:ascii="宋体" w:hAnsi="宋体"/>
                <w:lang w:val="en-US" w:eastAsia="zh-CN"/>
              </w:rPr>
              <w:t>附件2-7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firstLine="0"/>
              <w:jc w:val="center"/>
              <w:rPr>
                <w:rFonts w:hint="eastAsia" w:ascii="宋体" w:hAnsi="宋体"/>
                <w:sz w:val="24"/>
                <w:szCs w:val="24"/>
                <w:lang w:eastAsia="zh-CN"/>
              </w:rPr>
            </w:pPr>
            <w:r>
              <w:rPr>
                <w:rFonts w:hint="eastAsia" w:ascii="宋体" w:hAnsi="宋体"/>
                <w:sz w:val="24"/>
                <w:szCs w:val="24"/>
                <w:lang w:val="en-US" w:eastAsia="zh-CN"/>
              </w:rPr>
              <w:t>8</w:t>
            </w: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ascii="宋体" w:hAnsi="宋体" w:eastAsia="宋体" w:cs="Times New Roman"/>
                <w:kern w:val="2"/>
                <w:sz w:val="21"/>
                <w:szCs w:val="24"/>
                <w:lang w:val="en-US" w:eastAsia="zh-CN" w:bidi="ar-SA"/>
              </w:rPr>
            </w:pPr>
            <w:r>
              <w:rPr>
                <w:rFonts w:ascii="宋体" w:hAnsi="宋体"/>
              </w:rPr>
              <w:t>易损易耗件清单</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lang w:val="en-US" w:eastAsia="zh-CN"/>
              </w:rPr>
              <w:t>附件2-8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firstLine="0"/>
              <w:jc w:val="center"/>
              <w:rPr>
                <w:rFonts w:hint="default" w:ascii="宋体" w:hAnsi="宋体"/>
                <w:sz w:val="24"/>
                <w:szCs w:val="24"/>
                <w:lang w:val="en-US" w:eastAsia="zh-CN"/>
              </w:rPr>
            </w:pPr>
            <w:r>
              <w:rPr>
                <w:rFonts w:hint="eastAsia" w:ascii="宋体" w:hAnsi="宋体"/>
                <w:sz w:val="24"/>
                <w:szCs w:val="24"/>
                <w:lang w:val="en-US" w:eastAsia="zh-CN"/>
              </w:rPr>
              <w:t>9</w:t>
            </w: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ascii="宋体" w:hAnsi="宋体"/>
              </w:rPr>
            </w:pPr>
            <w:r>
              <w:rPr>
                <w:rFonts w:hint="eastAsia" w:cs="Times New Roman"/>
                <w:b w:val="0"/>
              </w:rPr>
              <w:t>零配件全国统一报价表（如有）</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eastAsia="宋体" w:cs="Times New Roman"/>
                <w:kern w:val="2"/>
                <w:sz w:val="21"/>
                <w:szCs w:val="24"/>
                <w:lang w:val="en-US" w:eastAsia="zh-CN" w:bidi="ar-SA"/>
              </w:rPr>
            </w:pPr>
            <w:r>
              <w:rPr>
                <w:rFonts w:hint="eastAsia" w:ascii="宋体" w:hAnsi="宋体"/>
                <w:lang w:val="en-US" w:eastAsia="zh-CN"/>
              </w:rPr>
              <w:t>附件2-9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leftChars="0" w:firstLine="0" w:firstLineChars="0"/>
              <w:jc w:val="center"/>
              <w:rPr>
                <w:rFonts w:hint="eastAsia" w:ascii="宋体" w:hAnsi="宋体" w:eastAsia="宋体" w:cs="Times New Roman"/>
                <w:kern w:val="0"/>
                <w:sz w:val="24"/>
                <w:szCs w:val="24"/>
                <w:lang w:val="en-US" w:eastAsia="zh-CN" w:bidi="ar-SA"/>
              </w:rPr>
            </w:pPr>
            <w:r>
              <w:rPr>
                <w:rFonts w:hint="eastAsia" w:ascii="宋体" w:hAnsi="宋体"/>
                <w:sz w:val="24"/>
                <w:szCs w:val="24"/>
                <w:lang w:val="en-US" w:eastAsia="zh-CN"/>
              </w:rPr>
              <w:t>10</w:t>
            </w: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ascii="宋体" w:hAnsi="宋体" w:eastAsia="宋体" w:cs="Times New Roman"/>
                <w:kern w:val="2"/>
                <w:sz w:val="21"/>
                <w:szCs w:val="24"/>
                <w:lang w:val="en-US" w:eastAsia="zh-CN" w:bidi="ar-SA"/>
              </w:rPr>
            </w:pPr>
            <w:r>
              <w:rPr>
                <w:rFonts w:hint="eastAsia" w:ascii="宋体" w:hAnsi="宋体"/>
              </w:rPr>
              <w:t>售后服务方案</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lang w:val="en-US" w:eastAsia="zh-CN"/>
              </w:rPr>
              <w:t>附件2-10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leftChars="0" w:firstLine="0" w:firstLineChars="0"/>
              <w:jc w:val="center"/>
              <w:rPr>
                <w:rFonts w:hint="default" w:ascii="宋体" w:hAnsi="宋体" w:eastAsia="宋体" w:cs="Times New Roman"/>
                <w:kern w:val="0"/>
                <w:sz w:val="24"/>
                <w:szCs w:val="24"/>
                <w:lang w:val="en-US" w:eastAsia="zh-CN" w:bidi="ar-SA"/>
              </w:rPr>
            </w:pPr>
            <w:r>
              <w:rPr>
                <w:rFonts w:hint="eastAsia" w:ascii="宋体" w:hAnsi="宋体"/>
                <w:sz w:val="24"/>
                <w:szCs w:val="24"/>
                <w:lang w:val="en-US" w:eastAsia="zh-CN"/>
              </w:rPr>
              <w:t>11</w:t>
            </w: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ascii="宋体" w:hAnsi="宋体" w:eastAsia="宋体" w:cs="Times New Roman"/>
                <w:kern w:val="2"/>
                <w:sz w:val="21"/>
                <w:szCs w:val="24"/>
                <w:lang w:val="en-US" w:eastAsia="zh-CN" w:bidi="ar-SA"/>
              </w:rPr>
            </w:pPr>
            <w:r>
              <w:rPr>
                <w:rFonts w:hint="eastAsia" w:ascii="宋体" w:hAnsi="宋体"/>
              </w:rPr>
              <w:t>技术方案和所</w:t>
            </w:r>
            <w:r>
              <w:rPr>
                <w:rFonts w:hint="eastAsia" w:ascii="宋体" w:hAnsi="宋体"/>
                <w:lang w:eastAsia="zh-CN"/>
              </w:rPr>
              <w:t>谈判</w:t>
            </w:r>
            <w:r>
              <w:rPr>
                <w:rFonts w:hint="eastAsia" w:ascii="宋体" w:hAnsi="宋体"/>
              </w:rPr>
              <w:t>产品技术支持资料</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lang w:val="en-US" w:eastAsia="zh-CN"/>
              </w:rPr>
              <w:t>附件2-11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leftChars="0" w:firstLine="0" w:firstLineChars="0"/>
              <w:jc w:val="center"/>
              <w:rPr>
                <w:rFonts w:hint="default" w:ascii="宋体" w:hAnsi="宋体" w:eastAsia="宋体" w:cs="Times New Roman"/>
                <w:kern w:val="0"/>
                <w:sz w:val="24"/>
                <w:szCs w:val="24"/>
                <w:lang w:val="en-US" w:eastAsia="zh-CN" w:bidi="ar-SA"/>
              </w:rPr>
            </w:pPr>
            <w:r>
              <w:rPr>
                <w:rFonts w:hint="eastAsia" w:ascii="宋体" w:hAnsi="宋体"/>
                <w:sz w:val="24"/>
                <w:szCs w:val="24"/>
                <w:lang w:val="en-US" w:eastAsia="zh-CN"/>
              </w:rPr>
              <w:t>12</w:t>
            </w: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Times New Roman"/>
                <w:kern w:val="2"/>
                <w:sz w:val="21"/>
                <w:szCs w:val="24"/>
                <w:lang w:val="en-US" w:eastAsia="zh-CN" w:bidi="ar-SA"/>
              </w:rPr>
            </w:pPr>
            <w:r>
              <w:rPr>
                <w:rFonts w:hint="eastAsia" w:ascii="宋体" w:hAnsi="宋体"/>
                <w:bCs/>
                <w:lang w:eastAsia="zh-CN"/>
              </w:rPr>
              <w:t>报价</w:t>
            </w:r>
            <w:r>
              <w:rPr>
                <w:rFonts w:hint="eastAsia" w:ascii="宋体" w:hAnsi="宋体"/>
                <w:bCs/>
              </w:rPr>
              <w:t>产品关键生产设备统计表</w:t>
            </w:r>
            <w:r>
              <w:rPr>
                <w:rFonts w:hint="eastAsia" w:ascii="宋体" w:hAnsi="宋体"/>
                <w:bCs/>
                <w:lang w:eastAsia="zh-CN"/>
              </w:rPr>
              <w:t>（</w:t>
            </w:r>
            <w:r>
              <w:rPr>
                <w:rFonts w:hint="eastAsia" w:ascii="宋体" w:hAnsi="宋体"/>
                <w:bCs/>
                <w:lang w:val="en-US" w:eastAsia="zh-CN"/>
              </w:rPr>
              <w:t>如有</w:t>
            </w:r>
            <w:r>
              <w:rPr>
                <w:rFonts w:hint="eastAsia" w:ascii="宋体" w:hAnsi="宋体"/>
                <w:bCs/>
                <w:lang w:eastAsia="zh-CN"/>
              </w:rPr>
              <w:t>）</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lang w:val="en-US" w:eastAsia="zh-CN"/>
              </w:rPr>
              <w:t>附件2-12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leftChars="0" w:firstLine="0" w:firstLineChars="0"/>
              <w:jc w:val="center"/>
              <w:rPr>
                <w:rFonts w:hint="default" w:ascii="宋体" w:hAnsi="宋体" w:eastAsia="宋体" w:cs="Times New Roman"/>
                <w:kern w:val="0"/>
                <w:sz w:val="24"/>
                <w:szCs w:val="24"/>
                <w:lang w:val="en-US" w:eastAsia="zh-CN" w:bidi="ar-SA"/>
              </w:rPr>
            </w:pPr>
            <w:r>
              <w:rPr>
                <w:rFonts w:hint="eastAsia" w:ascii="宋体" w:hAnsi="宋体"/>
                <w:sz w:val="24"/>
                <w:szCs w:val="24"/>
                <w:lang w:val="en-US" w:eastAsia="zh-CN"/>
              </w:rPr>
              <w:t>13</w:t>
            </w: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Times New Roman"/>
                <w:kern w:val="2"/>
                <w:sz w:val="21"/>
                <w:szCs w:val="24"/>
                <w:lang w:val="en-US" w:eastAsia="zh-CN" w:bidi="ar-SA"/>
              </w:rPr>
            </w:pPr>
            <w:r>
              <w:rPr>
                <w:rFonts w:hint="eastAsia" w:ascii="宋体" w:hAnsi="宋体"/>
              </w:rPr>
              <w:t>技术力量清单及证明材料</w:t>
            </w:r>
            <w:r>
              <w:rPr>
                <w:rFonts w:hint="eastAsia" w:ascii="宋体" w:hAnsi="宋体"/>
                <w:lang w:eastAsia="zh-CN"/>
              </w:rPr>
              <w:t>（</w:t>
            </w:r>
            <w:r>
              <w:rPr>
                <w:rFonts w:hint="eastAsia" w:ascii="宋体" w:hAnsi="宋体"/>
                <w:lang w:val="en-US" w:eastAsia="zh-CN"/>
              </w:rPr>
              <w:t>如有</w:t>
            </w:r>
            <w:r>
              <w:rPr>
                <w:rFonts w:hint="eastAsia" w:ascii="宋体" w:hAnsi="宋体"/>
                <w:lang w:eastAsia="zh-CN"/>
              </w:rPr>
              <w:t>）</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lang w:val="en-US" w:eastAsia="zh-CN"/>
              </w:rPr>
              <w:t>附件2-13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leftChars="0" w:firstLine="0" w:firstLineChars="0"/>
              <w:jc w:val="center"/>
              <w:rPr>
                <w:rFonts w:hint="default" w:ascii="宋体" w:hAnsi="宋体" w:eastAsia="宋体" w:cs="Times New Roman"/>
                <w:kern w:val="0"/>
                <w:sz w:val="24"/>
                <w:szCs w:val="24"/>
                <w:lang w:val="en-US" w:eastAsia="zh-CN" w:bidi="ar-SA"/>
              </w:rPr>
            </w:pPr>
            <w:r>
              <w:rPr>
                <w:rFonts w:hint="eastAsia" w:ascii="宋体" w:hAnsi="宋体"/>
                <w:sz w:val="24"/>
                <w:szCs w:val="24"/>
                <w:lang w:val="en-US" w:eastAsia="zh-CN"/>
              </w:rPr>
              <w:t>14</w:t>
            </w: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Times New Roman"/>
                <w:kern w:val="2"/>
                <w:sz w:val="21"/>
                <w:szCs w:val="24"/>
                <w:lang w:val="en-US" w:eastAsia="zh-CN" w:bidi="ar-SA"/>
              </w:rPr>
            </w:pPr>
            <w:r>
              <w:rPr>
                <w:rFonts w:hint="eastAsia" w:ascii="宋体" w:hAnsi="宋体"/>
                <w:lang w:eastAsia="zh-CN"/>
              </w:rPr>
              <w:t>报价</w:t>
            </w:r>
            <w:r>
              <w:rPr>
                <w:rFonts w:hint="eastAsia" w:ascii="宋体" w:hAnsi="宋体"/>
              </w:rPr>
              <w:t>供应商专利技术证书，包括发明专利、实用新型专利</w:t>
            </w:r>
            <w:r>
              <w:rPr>
                <w:rFonts w:hint="eastAsia" w:ascii="宋体" w:hAnsi="宋体"/>
                <w:lang w:eastAsia="zh-CN"/>
              </w:rPr>
              <w:t>（</w:t>
            </w:r>
            <w:r>
              <w:rPr>
                <w:rFonts w:hint="eastAsia"/>
              </w:rPr>
              <w:t>如有</w:t>
            </w:r>
            <w:r>
              <w:rPr>
                <w:rFonts w:hint="eastAsia" w:ascii="宋体" w:hAnsi="宋体"/>
                <w:lang w:eastAsia="zh-CN"/>
              </w:rPr>
              <w:t>）</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lang w:val="en-US" w:eastAsia="zh-CN"/>
              </w:rPr>
              <w:t>附件2-14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leftChars="0" w:firstLine="0" w:firstLineChars="0"/>
              <w:jc w:val="center"/>
              <w:rPr>
                <w:rFonts w:hint="default" w:ascii="宋体" w:hAnsi="宋体" w:eastAsia="宋体" w:cs="Times New Roman"/>
                <w:kern w:val="0"/>
                <w:sz w:val="24"/>
                <w:szCs w:val="24"/>
                <w:lang w:val="en-US" w:eastAsia="zh-CN" w:bidi="ar-SA"/>
              </w:rPr>
            </w:pPr>
            <w:r>
              <w:rPr>
                <w:rFonts w:hint="eastAsia" w:ascii="宋体" w:hAnsi="宋体"/>
                <w:sz w:val="24"/>
                <w:szCs w:val="24"/>
                <w:lang w:val="en-US" w:eastAsia="zh-CN"/>
              </w:rPr>
              <w:t>15</w:t>
            </w: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同类项目业绩</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lang w:val="en-US" w:eastAsia="zh-CN"/>
              </w:rPr>
              <w:t>附件2-15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1" w:hRule="exact"/>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leftChars="0" w:firstLine="0" w:firstLineChars="0"/>
              <w:jc w:val="center"/>
              <w:rPr>
                <w:rFonts w:hint="default" w:ascii="宋体" w:hAnsi="宋体" w:eastAsia="宋体" w:cs="Times New Roman"/>
                <w:kern w:val="0"/>
                <w:sz w:val="24"/>
                <w:szCs w:val="24"/>
                <w:lang w:val="en-US" w:eastAsia="zh-CN" w:bidi="ar-SA"/>
              </w:rPr>
            </w:pPr>
            <w:r>
              <w:rPr>
                <w:rFonts w:hint="eastAsia" w:ascii="宋体" w:hAnsi="宋体"/>
                <w:sz w:val="24"/>
                <w:szCs w:val="24"/>
                <w:lang w:val="en-US" w:eastAsia="zh-CN"/>
              </w:rPr>
              <w:t>16</w:t>
            </w: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Times New Roman"/>
                <w:kern w:val="2"/>
                <w:sz w:val="21"/>
                <w:szCs w:val="24"/>
                <w:lang w:val="en-US" w:eastAsia="zh-CN" w:bidi="ar-SA"/>
              </w:rPr>
            </w:pPr>
            <w:r>
              <w:rPr>
                <w:rFonts w:hint="eastAsia" w:ascii="宋体" w:hAnsi="宋体"/>
              </w:rPr>
              <w:t>财务社保数据统计表</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lang w:val="en-US" w:eastAsia="zh-CN"/>
              </w:rPr>
              <w:t>附件2-16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firstLine="0"/>
              <w:jc w:val="center"/>
              <w:rPr>
                <w:rFonts w:hint="default" w:ascii="宋体" w:hAnsi="宋体" w:eastAsia="宋体"/>
                <w:sz w:val="24"/>
                <w:szCs w:val="24"/>
                <w:lang w:val="en-US" w:eastAsia="zh-CN"/>
              </w:rPr>
            </w:pPr>
            <w:r>
              <w:rPr>
                <w:rFonts w:hint="eastAsia" w:ascii="宋体" w:hAnsi="宋体" w:eastAsia="宋体"/>
                <w:sz w:val="24"/>
                <w:szCs w:val="24"/>
                <w:lang w:val="en-US" w:eastAsia="zh-CN"/>
              </w:rPr>
              <w:t>17</w:t>
            </w: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lang w:eastAsia="zh-CN"/>
              </w:rPr>
            </w:pPr>
            <w:r>
              <w:rPr>
                <w:rFonts w:hint="eastAsia" w:ascii="宋体" w:hAnsi="宋体"/>
                <w:lang w:eastAsia="zh-CN"/>
              </w:rPr>
              <w:t>其他材料</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lang w:val="en-US" w:eastAsia="zh-CN"/>
              </w:rPr>
            </w:pPr>
            <w:r>
              <w:rPr>
                <w:rFonts w:hint="eastAsia" w:ascii="宋体" w:hAnsi="宋体"/>
                <w:lang w:val="en-US" w:eastAsia="zh-CN"/>
              </w:rPr>
              <w:t>附件2-17</w:t>
            </w:r>
          </w:p>
        </w:tc>
      </w:tr>
    </w:tbl>
    <w:p>
      <w:pPr>
        <w:spacing w:line="560" w:lineRule="exact"/>
        <w:ind w:firstLine="562" w:firstLineChars="200"/>
        <w:rPr>
          <w:rFonts w:hint="eastAsia" w:ascii="Times New Roman" w:hAnsi="Times New Roman" w:eastAsia="宋体" w:cs="Times New Roman"/>
          <w:b/>
          <w:bCs/>
          <w:sz w:val="28"/>
          <w:szCs w:val="28"/>
          <w:lang w:eastAsia="zh-CN"/>
        </w:rPr>
      </w:pPr>
      <w:r>
        <w:rPr>
          <w:rFonts w:hint="eastAsia" w:ascii="Times New Roman" w:hAnsi="Times New Roman" w:eastAsia="宋体" w:cs="Times New Roman"/>
          <w:b/>
          <w:bCs/>
          <w:sz w:val="28"/>
          <w:szCs w:val="28"/>
          <w:lang w:eastAsia="zh-CN"/>
        </w:rPr>
        <w:t>三、资格证明文件组成（按照《资格和符合性审查表》要求提供证明材料）组成（1正、2副，共3份）；封面内容包含项目名称，项目编号，包号（如无分包统一填写01），报价文件-资格证明文件-正本/副本，报价人全称并加盖公章，法定代表人或授权代表签字或盖章。</w:t>
      </w:r>
    </w:p>
    <w:tbl>
      <w:tblPr>
        <w:tblStyle w:val="44"/>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5"/>
        <w:gridCol w:w="7211"/>
        <w:gridCol w:w="12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rPr>
                <w:rFonts w:ascii="宋体" w:hAnsi="宋体"/>
                <w:b/>
              </w:rPr>
            </w:pPr>
            <w:r>
              <w:rPr>
                <w:rFonts w:hint="eastAsia" w:ascii="宋体" w:hAnsi="宋体"/>
                <w:b/>
              </w:rPr>
              <w:t>序号</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rPr>
                <w:rFonts w:ascii="宋体" w:hAnsi="宋体"/>
                <w:b/>
              </w:rPr>
            </w:pPr>
            <w:r>
              <w:rPr>
                <w:rFonts w:hint="eastAsia" w:ascii="宋体" w:hAnsi="宋体"/>
                <w:b/>
              </w:rPr>
              <w:t>内容</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rPr>
                <w:rFonts w:ascii="宋体" w:hAnsi="宋体"/>
                <w:b/>
              </w:rPr>
            </w:pPr>
            <w:r>
              <w:rPr>
                <w:rFonts w:hint="eastAsia" w:ascii="宋体" w:hAnsi="宋体"/>
                <w:b/>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2"/>
              </w:numPr>
              <w:spacing w:line="240" w:lineRule="auto"/>
              <w:jc w:val="center"/>
              <w:rPr>
                <w:rFonts w:ascii="宋体" w:hAnsi="宋体"/>
                <w:b/>
                <w:lang w:eastAsia="zh-CN"/>
              </w:rPr>
            </w:pP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ascii="宋体" w:hAnsi="宋体"/>
                <w:b/>
              </w:rPr>
            </w:pPr>
            <w:r>
              <w:rPr>
                <w:rFonts w:hint="eastAsia" w:ascii="宋体" w:hAnsi="宋体"/>
                <w:bCs/>
              </w:rPr>
              <w:t>资格证明文件索引表</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rPr>
                <w:rFonts w:hint="default" w:ascii="宋体" w:hAnsi="宋体" w:eastAsia="宋体"/>
                <w:b/>
                <w:lang w:val="en-US" w:eastAsia="zh-CN"/>
              </w:rPr>
            </w:pPr>
            <w:r>
              <w:rPr>
                <w:rFonts w:hint="eastAsia" w:ascii="宋体" w:hAnsi="宋体"/>
                <w:bCs/>
              </w:rPr>
              <w:t>附件</w:t>
            </w:r>
            <w:r>
              <w:rPr>
                <w:rFonts w:hint="eastAsia" w:ascii="宋体" w:hAnsi="宋体"/>
                <w:bCs/>
                <w:lang w:val="en-US" w:eastAsia="zh-CN"/>
              </w:rPr>
              <w:t>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2"/>
              </w:numPr>
              <w:spacing w:line="240" w:lineRule="auto"/>
              <w:jc w:val="center"/>
              <w:rPr>
                <w:rFonts w:ascii="宋体" w:hAnsi="宋体"/>
                <w:sz w:val="24"/>
                <w:szCs w:val="24"/>
              </w:rPr>
            </w:pP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ascii="宋体" w:hAnsi="宋体"/>
              </w:rPr>
            </w:pPr>
            <w:r>
              <w:rPr>
                <w:rFonts w:hint="eastAsia"/>
                <w:b w:val="0"/>
                <w:bCs/>
                <w:lang w:val="zh-CN"/>
              </w:rPr>
              <w:t>工商营业执照、组织机构代码证、税务登记证</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lang w:val="en-US"/>
              </w:rPr>
            </w:pPr>
            <w:r>
              <w:rPr>
                <w:rFonts w:hint="eastAsia" w:ascii="宋体" w:hAnsi="宋体"/>
                <w:bCs/>
              </w:rPr>
              <w:t>附件</w:t>
            </w:r>
            <w:r>
              <w:rPr>
                <w:rFonts w:hint="eastAsia" w:ascii="宋体" w:hAnsi="宋体"/>
                <w:bCs/>
                <w:lang w:val="en-US" w:eastAsia="zh-CN"/>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2"/>
              </w:numPr>
              <w:spacing w:line="240" w:lineRule="auto"/>
              <w:jc w:val="center"/>
              <w:rPr>
                <w:rFonts w:ascii="宋体" w:hAnsi="宋体"/>
                <w:sz w:val="24"/>
                <w:szCs w:val="24"/>
                <w:lang w:eastAsia="zh-CN"/>
              </w:rPr>
            </w:pP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ascii="宋体" w:hAnsi="宋体"/>
              </w:rPr>
            </w:pPr>
            <w:r>
              <w:rPr>
                <w:rFonts w:hint="eastAsia"/>
                <w:b w:val="0"/>
                <w:bCs/>
              </w:rPr>
              <w:t>法定代表人资格证明书</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rPr>
            </w:pPr>
            <w:r>
              <w:rPr>
                <w:rFonts w:hint="eastAsia" w:ascii="宋体" w:hAnsi="宋体"/>
                <w:bCs/>
              </w:rPr>
              <w:t>附件</w:t>
            </w:r>
            <w:r>
              <w:rPr>
                <w:rFonts w:hint="eastAsia" w:ascii="宋体" w:hAnsi="宋体"/>
                <w:bCs/>
                <w:lang w:val="en-US" w:eastAsia="zh-CN"/>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2"/>
              </w:numPr>
              <w:spacing w:line="240" w:lineRule="auto"/>
              <w:jc w:val="center"/>
              <w:rPr>
                <w:rFonts w:ascii="宋体" w:hAnsi="宋体"/>
                <w:sz w:val="24"/>
                <w:szCs w:val="24"/>
                <w:lang w:eastAsia="zh-CN"/>
              </w:rPr>
            </w:pP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ascii="宋体" w:hAnsi="宋体"/>
              </w:rPr>
            </w:pPr>
            <w:r>
              <w:rPr>
                <w:rFonts w:hint="eastAsia" w:ascii="宋体" w:hAnsi="宋体"/>
              </w:rPr>
              <w:t>法定代表人授权书</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rPr>
            </w:pPr>
            <w:r>
              <w:rPr>
                <w:rFonts w:hint="eastAsia" w:ascii="宋体" w:hAnsi="宋体"/>
                <w:bCs/>
              </w:rPr>
              <w:t>附件</w:t>
            </w:r>
            <w:r>
              <w:rPr>
                <w:rFonts w:hint="eastAsia" w:ascii="宋体" w:hAnsi="宋体"/>
                <w:bCs/>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2"/>
              </w:numPr>
              <w:spacing w:line="240" w:lineRule="auto"/>
              <w:jc w:val="center"/>
              <w:rPr>
                <w:rFonts w:ascii="宋体" w:hAnsi="宋体"/>
                <w:sz w:val="24"/>
                <w:szCs w:val="24"/>
                <w:lang w:eastAsia="zh-CN"/>
              </w:rPr>
            </w:pP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ascii="宋体" w:hAnsi="宋体"/>
              </w:rPr>
            </w:pPr>
            <w:r>
              <w:rPr>
                <w:rFonts w:hint="eastAsia"/>
                <w:b w:val="0"/>
                <w:bCs/>
              </w:rPr>
              <w:t>供应商承诺及书面声明</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rPr>
            </w:pPr>
            <w:r>
              <w:rPr>
                <w:rFonts w:hint="eastAsia" w:ascii="宋体" w:hAnsi="宋体"/>
                <w:bCs/>
              </w:rPr>
              <w:t>附件</w:t>
            </w:r>
            <w:r>
              <w:rPr>
                <w:rFonts w:hint="eastAsia" w:ascii="宋体" w:hAnsi="宋体"/>
                <w:bCs/>
                <w:lang w:val="en-US" w:eastAsia="zh-CN"/>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8"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2"/>
              </w:numPr>
              <w:spacing w:line="240" w:lineRule="auto"/>
              <w:jc w:val="center"/>
              <w:rPr>
                <w:rFonts w:ascii="宋体" w:hAnsi="宋体"/>
                <w:sz w:val="24"/>
                <w:szCs w:val="24"/>
                <w:lang w:eastAsia="zh-CN"/>
              </w:rPr>
            </w:pP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Times New Roman"/>
                <w:lang w:val="zh-CN"/>
              </w:rPr>
            </w:pPr>
            <w:r>
              <w:rPr>
                <w:rFonts w:hint="eastAsia" w:ascii="宋体" w:hAnsi="宋体" w:eastAsia="宋体" w:cs="Times New Roman"/>
                <w:lang w:val="zh-CN"/>
              </w:rPr>
              <w:t>纳税的证明材料</w:t>
            </w:r>
          </w:p>
          <w:p>
            <w:pPr>
              <w:spacing w:line="240" w:lineRule="auto"/>
              <w:rPr>
                <w:rFonts w:hint="eastAsia" w:ascii="宋体" w:hAnsi="宋体" w:eastAsia="宋体" w:cs="Times New Roman"/>
                <w:lang w:val="en-US" w:eastAsia="zh-CN"/>
              </w:rPr>
            </w:pPr>
            <w:r>
              <w:rPr>
                <w:rFonts w:hint="eastAsia" w:ascii="宋体" w:hAnsi="宋体" w:eastAsia="宋体" w:cs="Times New Roman"/>
                <w:lang w:val="zh-CN"/>
              </w:rPr>
              <w:t>（报价供应商最近一年内不少于</w:t>
            </w:r>
            <w:r>
              <w:rPr>
                <w:rFonts w:hint="eastAsia" w:ascii="宋体" w:hAnsi="宋体" w:eastAsia="宋体" w:cs="Times New Roman"/>
                <w:lang w:val="en-US" w:eastAsia="zh-CN"/>
              </w:rPr>
              <w:t>3</w:t>
            </w:r>
            <w:r>
              <w:rPr>
                <w:rFonts w:hint="eastAsia" w:ascii="宋体" w:hAnsi="宋体" w:eastAsia="宋体" w:cs="Times New Roman"/>
                <w:lang w:val="zh-CN"/>
              </w:rPr>
              <w:t>个月纳税的证明材料）</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lang w:val="en-US" w:eastAsia="zh-CN"/>
              </w:rPr>
              <w:t>附件3-6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3"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2"/>
              </w:numPr>
              <w:spacing w:line="240" w:lineRule="auto"/>
              <w:jc w:val="center"/>
              <w:rPr>
                <w:rFonts w:ascii="宋体" w:hAnsi="宋体"/>
                <w:sz w:val="24"/>
                <w:szCs w:val="24"/>
                <w:lang w:eastAsia="zh-CN"/>
              </w:rPr>
            </w:pP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ascii="宋体" w:hAnsi="宋体" w:eastAsia="宋体" w:cs="Times New Roman"/>
                <w:kern w:val="2"/>
                <w:sz w:val="21"/>
                <w:szCs w:val="24"/>
                <w:lang w:val="en-US" w:eastAsia="zh-CN" w:bidi="ar-SA"/>
              </w:rPr>
            </w:pPr>
            <w:r>
              <w:rPr>
                <w:rFonts w:hint="eastAsia" w:ascii="宋体" w:hAnsi="宋体"/>
                <w:lang w:eastAsia="zh-CN"/>
              </w:rPr>
              <w:t>报价</w:t>
            </w:r>
            <w:r>
              <w:rPr>
                <w:rFonts w:hint="eastAsia" w:ascii="宋体" w:hAnsi="宋体"/>
              </w:rPr>
              <w:t>供应商最近一年内不少于</w:t>
            </w:r>
            <w:r>
              <w:rPr>
                <w:rFonts w:hint="eastAsia" w:ascii="宋体" w:hAnsi="宋体"/>
                <w:lang w:val="en-US" w:eastAsia="zh-CN"/>
              </w:rPr>
              <w:t>3</w:t>
            </w:r>
            <w:r>
              <w:rPr>
                <w:rFonts w:hint="eastAsia" w:ascii="宋体" w:hAnsi="宋体"/>
              </w:rPr>
              <w:t>个月缴纳社会保障金的证明材料（银行转账汇款单或社保部门出具的缴纳社会保障金的证明等；不需要缴纳社会保障金的供应商，</w:t>
            </w:r>
            <w:r>
              <w:rPr>
                <w:rFonts w:hint="eastAsia" w:ascii="宋体" w:hAnsi="宋体"/>
                <w:lang w:eastAsia="zh-CN"/>
              </w:rPr>
              <w:t>报价</w:t>
            </w:r>
            <w:r>
              <w:rPr>
                <w:rFonts w:hint="eastAsia" w:ascii="宋体" w:hAnsi="宋体"/>
              </w:rPr>
              <w:t>供应商应提供相关证明材料）</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lang w:val="en-US" w:eastAsia="zh-CN"/>
              </w:rPr>
              <w:t>附件3-7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2"/>
              </w:numPr>
              <w:spacing w:line="240" w:lineRule="auto"/>
              <w:jc w:val="center"/>
              <w:rPr>
                <w:rFonts w:ascii="宋体" w:hAnsi="宋体"/>
                <w:sz w:val="24"/>
                <w:szCs w:val="24"/>
                <w:lang w:eastAsia="zh-CN"/>
              </w:rPr>
            </w:pP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ascii="宋体" w:hAnsi="宋体" w:eastAsia="宋体" w:cs="Times New Roman"/>
                <w:kern w:val="2"/>
                <w:sz w:val="21"/>
                <w:szCs w:val="24"/>
                <w:lang w:val="en-US" w:eastAsia="zh-CN" w:bidi="ar-SA"/>
              </w:rPr>
            </w:pPr>
            <w:r>
              <w:rPr>
                <w:rFonts w:hint="eastAsia" w:ascii="宋体" w:hAnsi="宋体"/>
                <w:lang w:eastAsia="zh-CN"/>
              </w:rPr>
              <w:t>报价</w:t>
            </w:r>
            <w:r>
              <w:rPr>
                <w:rFonts w:hint="eastAsia" w:ascii="宋体" w:hAnsi="宋体"/>
              </w:rPr>
              <w:t>供应商近</w:t>
            </w:r>
            <w:r>
              <w:rPr>
                <w:rFonts w:hint="eastAsia" w:ascii="宋体" w:hAnsi="宋体"/>
                <w:lang w:eastAsia="zh-CN"/>
              </w:rPr>
              <w:t>一</w:t>
            </w:r>
            <w:r>
              <w:rPr>
                <w:rFonts w:hint="eastAsia" w:ascii="宋体" w:hAnsi="宋体"/>
              </w:rPr>
              <w:t>年会计师事务所出具完整的审计报告</w:t>
            </w:r>
            <w:r>
              <w:rPr>
                <w:rFonts w:hint="eastAsia" w:ascii="宋体" w:hAnsi="宋体"/>
                <w:lang w:eastAsia="zh-CN"/>
              </w:rPr>
              <w:t>或公司财务报告（表）</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eastAsia="宋体"/>
                <w:lang w:val="en-US" w:eastAsia="zh-CN"/>
              </w:rPr>
              <w:t>附件3-</w:t>
            </w:r>
            <w:r>
              <w:rPr>
                <w:rFonts w:hint="eastAsia" w:ascii="宋体" w:hAnsi="宋体"/>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2"/>
              </w:numPr>
              <w:spacing w:line="240" w:lineRule="auto"/>
              <w:jc w:val="center"/>
              <w:rPr>
                <w:rFonts w:ascii="宋体" w:hAnsi="宋体"/>
                <w:sz w:val="24"/>
                <w:szCs w:val="24"/>
                <w:lang w:eastAsia="zh-CN"/>
              </w:rPr>
            </w:pP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pStyle w:val="6"/>
              <w:keepNext/>
              <w:keepLines/>
              <w:pageBreakBefore w:val="0"/>
              <w:widowControl w:val="0"/>
              <w:kinsoku/>
              <w:wordWrap/>
              <w:overflowPunct/>
              <w:topLinePunct w:val="0"/>
              <w:autoSpaceDE/>
              <w:autoSpaceDN/>
              <w:bidi w:val="0"/>
              <w:adjustRightInd/>
              <w:snapToGrid/>
              <w:spacing w:before="195" w:beforeLines="50" w:after="195" w:afterLines="50" w:line="240" w:lineRule="auto"/>
              <w:textAlignment w:val="auto"/>
              <w:rPr>
                <w:rFonts w:hint="eastAsia" w:ascii="宋体" w:hAnsi="宋体" w:eastAsia="宋体" w:cs="Times New Roman"/>
                <w:b/>
                <w:bCs/>
                <w:kern w:val="2"/>
                <w:sz w:val="28"/>
                <w:szCs w:val="28"/>
                <w:lang w:val="en-US" w:eastAsia="zh-CN" w:bidi="ar-SA"/>
              </w:rPr>
            </w:pPr>
            <w:bookmarkStart w:id="812" w:name="_Toc25531"/>
            <w:r>
              <w:rPr>
                <w:rFonts w:hint="eastAsia" w:ascii="宋体" w:hAnsi="宋体" w:eastAsia="宋体" w:cs="Times New Roman"/>
                <w:b w:val="0"/>
                <w:bCs w:val="0"/>
                <w:kern w:val="2"/>
                <w:sz w:val="21"/>
                <w:szCs w:val="24"/>
                <w:lang w:val="en-US" w:eastAsia="zh-CN" w:bidi="ar-SA"/>
              </w:rPr>
              <w:t>谈判保证金缴纳证明材料</w:t>
            </w:r>
            <w:bookmarkEnd w:id="812"/>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eastAsia="宋体"/>
                <w:lang w:val="en-US" w:eastAsia="zh-CN"/>
              </w:rPr>
              <w:t>附件3-</w:t>
            </w:r>
            <w:r>
              <w:rPr>
                <w:rFonts w:hint="eastAsia" w:ascii="宋体" w:hAnsi="宋体"/>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2"/>
              </w:numPr>
              <w:spacing w:line="240" w:lineRule="auto"/>
              <w:jc w:val="center"/>
              <w:rPr>
                <w:rFonts w:ascii="宋体" w:hAnsi="宋体"/>
                <w:sz w:val="24"/>
                <w:szCs w:val="24"/>
                <w:lang w:eastAsia="zh-CN"/>
              </w:rPr>
            </w:pP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pStyle w:val="6"/>
              <w:keepNext/>
              <w:keepLines/>
              <w:pageBreakBefore w:val="0"/>
              <w:widowControl w:val="0"/>
              <w:kinsoku/>
              <w:wordWrap/>
              <w:overflowPunct/>
              <w:topLinePunct w:val="0"/>
              <w:autoSpaceDE/>
              <w:autoSpaceDN/>
              <w:bidi w:val="0"/>
              <w:adjustRightInd/>
              <w:snapToGrid/>
              <w:spacing w:before="195" w:beforeLines="50" w:after="195" w:afterLines="50" w:line="240" w:lineRule="auto"/>
              <w:textAlignment w:val="auto"/>
              <w:rPr>
                <w:rFonts w:hint="eastAsia" w:ascii="宋体" w:hAnsi="宋体" w:eastAsia="宋体" w:cs="Times New Roman"/>
                <w:b w:val="0"/>
                <w:bCs w:val="0"/>
                <w:kern w:val="2"/>
                <w:sz w:val="21"/>
                <w:szCs w:val="24"/>
                <w:lang w:val="en-US" w:eastAsia="zh-CN" w:bidi="ar-SA"/>
              </w:rPr>
            </w:pPr>
            <w:r>
              <w:rPr>
                <w:rFonts w:hint="eastAsia" w:ascii="宋体" w:hAnsi="宋体" w:eastAsia="宋体" w:cs="Times New Roman"/>
                <w:b w:val="0"/>
                <w:bCs w:val="0"/>
                <w:kern w:val="2"/>
                <w:sz w:val="21"/>
                <w:szCs w:val="24"/>
                <w:lang w:val="zh-CN" w:eastAsia="zh-CN" w:bidi="ar-SA"/>
              </w:rPr>
              <w:t>管理体系认证证书（</w:t>
            </w:r>
            <w:r>
              <w:rPr>
                <w:rFonts w:hint="eastAsia" w:ascii="宋体" w:hAnsi="宋体" w:eastAsia="宋体" w:cs="Times New Roman"/>
                <w:b w:val="0"/>
                <w:bCs w:val="0"/>
                <w:kern w:val="2"/>
                <w:sz w:val="21"/>
                <w:szCs w:val="24"/>
                <w:lang w:val="en-US" w:eastAsia="zh-CN" w:bidi="ar-SA"/>
              </w:rPr>
              <w:t>如有</w:t>
            </w:r>
            <w:r>
              <w:rPr>
                <w:rFonts w:hint="eastAsia" w:ascii="宋体" w:hAnsi="宋体" w:eastAsia="宋体" w:cs="Times New Roman"/>
                <w:b w:val="0"/>
                <w:bCs w:val="0"/>
                <w:kern w:val="2"/>
                <w:sz w:val="21"/>
                <w:szCs w:val="24"/>
                <w:lang w:val="zh-CN" w:eastAsia="zh-CN" w:bidi="ar-SA"/>
              </w:rPr>
              <w:t>）</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eastAsia="宋体"/>
                <w:lang w:val="en-US" w:eastAsia="zh-CN"/>
              </w:rPr>
              <w:t>附件3-1</w:t>
            </w:r>
            <w:r>
              <w:rPr>
                <w:rFonts w:hint="eastAsia" w:ascii="宋体" w:hAnsi="宋体"/>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auto"/>
              <w:ind w:left="0" w:leftChars="0" w:firstLine="0" w:firstLineChars="0"/>
              <w:jc w:val="center"/>
              <w:rPr>
                <w:rFonts w:hint="default" w:ascii="宋体" w:hAnsi="宋体"/>
                <w:sz w:val="24"/>
                <w:szCs w:val="24"/>
                <w:lang w:val="en-US" w:eastAsia="zh-CN"/>
              </w:rPr>
            </w:pPr>
            <w:r>
              <w:rPr>
                <w:rFonts w:hint="eastAsia" w:ascii="宋体" w:hAnsi="宋体"/>
                <w:sz w:val="24"/>
                <w:szCs w:val="24"/>
                <w:lang w:val="en-US" w:eastAsia="zh-CN"/>
              </w:rPr>
              <w:t>11</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Times New Roman"/>
                <w:kern w:val="2"/>
                <w:sz w:val="21"/>
                <w:szCs w:val="24"/>
                <w:lang w:val="en-US" w:eastAsia="zh-CN" w:bidi="ar-SA"/>
              </w:rPr>
            </w:pPr>
            <w:r>
              <w:rPr>
                <w:rFonts w:hint="eastAsia" w:ascii="宋体" w:hAnsi="宋体" w:eastAsia="宋体" w:cs="Times New Roman"/>
                <w:b w:val="0"/>
                <w:bCs w:val="0"/>
                <w:kern w:val="2"/>
                <w:sz w:val="21"/>
                <w:szCs w:val="24"/>
                <w:lang w:val="zh-CN" w:eastAsia="zh-CN" w:bidi="ar-SA"/>
              </w:rPr>
              <w:t>报价供应商基本情况表</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bCs/>
              </w:rPr>
              <w:t>附件</w:t>
            </w:r>
            <w:r>
              <w:rPr>
                <w:rFonts w:hint="eastAsia" w:ascii="宋体" w:hAnsi="宋体"/>
                <w:bCs/>
                <w:lang w:val="en-US" w:eastAsia="zh-CN"/>
              </w:rPr>
              <w:t>3-11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4"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auto"/>
              <w:ind w:left="0" w:leftChars="0" w:firstLine="0" w:firstLineChars="0"/>
              <w:jc w:val="center"/>
              <w:rPr>
                <w:rFonts w:hint="default" w:ascii="宋体" w:hAnsi="宋体"/>
                <w:sz w:val="24"/>
                <w:szCs w:val="24"/>
                <w:lang w:val="en-US" w:eastAsia="zh-CN"/>
              </w:rPr>
            </w:pPr>
            <w:r>
              <w:rPr>
                <w:rFonts w:hint="eastAsia" w:ascii="宋体" w:hAnsi="宋体"/>
                <w:sz w:val="24"/>
                <w:szCs w:val="24"/>
                <w:lang w:val="en-US" w:eastAsia="zh-CN"/>
              </w:rPr>
              <w:t>12</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ascii="宋体" w:hAnsi="宋体"/>
              </w:rPr>
            </w:pPr>
            <w:r>
              <w:rPr>
                <w:rFonts w:hint="eastAsia" w:ascii="宋体" w:hAnsi="宋体"/>
              </w:rPr>
              <w:t>主要股东或出资人信息</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lang w:val="en-US" w:eastAsia="zh-CN"/>
              </w:rPr>
            </w:pPr>
            <w:r>
              <w:rPr>
                <w:rFonts w:hint="eastAsia" w:ascii="宋体" w:hAnsi="宋体"/>
                <w:bCs/>
              </w:rPr>
              <w:t>附件</w:t>
            </w:r>
            <w:r>
              <w:rPr>
                <w:rFonts w:hint="eastAsia" w:ascii="宋体" w:hAnsi="宋体"/>
                <w:bCs/>
                <w:lang w:val="en-US" w:eastAsia="zh-CN"/>
              </w:rPr>
              <w:t>3-12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auto"/>
              <w:ind w:left="28" w:firstLine="0"/>
              <w:jc w:val="center"/>
              <w:rPr>
                <w:rFonts w:hint="default" w:ascii="宋体" w:hAnsi="宋体"/>
                <w:sz w:val="24"/>
                <w:szCs w:val="24"/>
                <w:lang w:val="en-US" w:eastAsia="zh-CN"/>
              </w:rPr>
            </w:pPr>
            <w:r>
              <w:rPr>
                <w:rFonts w:hint="eastAsia" w:ascii="宋体" w:hAnsi="宋体"/>
                <w:sz w:val="24"/>
                <w:szCs w:val="24"/>
                <w:lang w:val="en-US" w:eastAsia="zh-CN"/>
              </w:rPr>
              <w:t>13</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rPr>
            </w:pPr>
            <w:r>
              <w:rPr>
                <w:rFonts w:hint="eastAsia" w:ascii="宋体" w:hAnsi="宋体"/>
              </w:rPr>
              <w:t>特定资格条件所需材料</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lang w:val="en-US" w:eastAsia="zh-CN"/>
              </w:rPr>
            </w:pPr>
            <w:r>
              <w:rPr>
                <w:rFonts w:hint="eastAsia" w:ascii="宋体" w:hAnsi="宋体"/>
                <w:bCs/>
              </w:rPr>
              <w:t>附件</w:t>
            </w:r>
            <w:r>
              <w:rPr>
                <w:rFonts w:hint="eastAsia" w:ascii="宋体" w:hAnsi="宋体"/>
                <w:bCs/>
                <w:lang w:val="en-US" w:eastAsia="zh-CN"/>
              </w:rPr>
              <w:t>3-13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auto"/>
              <w:ind w:left="28" w:firstLine="0"/>
              <w:jc w:val="center"/>
              <w:rPr>
                <w:rFonts w:hint="default" w:ascii="宋体" w:hAnsi="宋体"/>
                <w:sz w:val="24"/>
                <w:szCs w:val="24"/>
                <w:lang w:val="en-US" w:eastAsia="zh-CN"/>
              </w:rPr>
            </w:pPr>
            <w:r>
              <w:rPr>
                <w:rFonts w:hint="eastAsia" w:ascii="宋体" w:hAnsi="宋体"/>
                <w:sz w:val="24"/>
                <w:szCs w:val="24"/>
                <w:lang w:val="en-US" w:eastAsia="zh-CN"/>
              </w:rPr>
              <w:t>14</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Times New Roman"/>
                <w:kern w:val="2"/>
                <w:sz w:val="21"/>
                <w:szCs w:val="24"/>
                <w:lang w:val="en-US" w:eastAsia="zh-CN" w:bidi="ar-SA"/>
              </w:rPr>
            </w:pPr>
            <w:r>
              <w:rPr>
                <w:rFonts w:hint="eastAsia"/>
                <w:b w:val="0"/>
                <w:bCs/>
                <w:lang w:val="zh-CN"/>
              </w:rPr>
              <w:t>其他资料</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eastAsia="宋体"/>
                <w:lang w:val="en-US" w:eastAsia="zh-CN"/>
              </w:rPr>
              <w:t>附件</w:t>
            </w:r>
            <w:r>
              <w:rPr>
                <w:rFonts w:hint="eastAsia" w:ascii="宋体" w:hAnsi="宋体"/>
                <w:lang w:val="en-US" w:eastAsia="zh-CN"/>
              </w:rPr>
              <w:t>3-14</w:t>
            </w:r>
          </w:p>
        </w:tc>
      </w:tr>
    </w:tbl>
    <w:p/>
    <w:p>
      <w:pPr>
        <w:pStyle w:val="16"/>
      </w:pPr>
    </w:p>
    <w:sectPr>
      <w:headerReference r:id="rId24" w:type="default"/>
      <w:footerReference r:id="rId25" w:type="default"/>
      <w:pgSz w:w="11906" w:h="16838"/>
      <w:pgMar w:top="1418" w:right="1134" w:bottom="1418" w:left="1418" w:header="851" w:footer="851" w:gutter="0"/>
      <w:pgNumType w:fmt="numberInDash"/>
      <w:cols w:space="720" w:num="1"/>
      <w:docGrid w:linePitch="388" w:charSpace="-12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TimesNewRomanPSMT">
    <w:altName w:val="Times New Roman"/>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Microsoft YaHei UI">
    <w:panose1 w:val="020B0503020204020204"/>
    <w:charset w:val="86"/>
    <w:family w:val="swiss"/>
    <w:pitch w:val="default"/>
    <w:sig w:usb0="80000287" w:usb1="28C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MS Gothic">
    <w:panose1 w:val="020B06090702050802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wordWrap w:val="0"/>
      <w:jc w:val="right"/>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44</w:t>
                    </w:r>
                    <w:r>
                      <w:fldChar w:fldCharType="end"/>
                    </w:r>
                  </w:p>
                </w:txbxContent>
              </v:textbox>
            </v:shape>
          </w:pict>
        </mc:Fallback>
      </mc:AlternateContent>
    </w:r>
  </w:p>
  <w:p>
    <w:pPr>
      <w:pStyle w:val="28"/>
      <w:wordWrap w:val="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wordWrap w:val="0"/>
      <w:jc w:val="right"/>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80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80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wordWrap w:val="0"/>
      <w:jc w:val="right"/>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98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98</w:t>
                    </w:r>
                    <w:r>
                      <w:fldChar w:fldCharType="end"/>
                    </w:r>
                  </w:p>
                </w:txbxContent>
              </v:textbox>
            </v:shape>
          </w:pict>
        </mc:Fallback>
      </mc:AlternateContent>
    </w:r>
  </w:p>
  <w:p>
    <w:pPr>
      <w:pStyle w:val="28"/>
      <w:wordWrap w:val="0"/>
      <w:jc w:val="both"/>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hint="eastAsia" w:ascii="宋体" w:eastAsia="宋体"/>
        <w:sz w:val="24"/>
        <w:szCs w:val="24"/>
        <w:lang w:eastAsia="zh-CN"/>
      </w:rPr>
    </w:pPr>
    <w:r>
      <w:rPr>
        <w:sz w:val="24"/>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121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121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top w:val="none" w:color="auto" w:sz="0" w:space="1"/>
        <w:left w:val="none" w:color="auto" w:sz="0" w:space="4"/>
        <w:bottom w:val="none" w:color="auto" w:sz="0" w:space="1"/>
        <w:right w:val="none" w:color="auto" w:sz="0" w:space="4"/>
      </w:pBdr>
      <w:jc w:val="both"/>
      <w:rPr>
        <w:rFonts w:ascii="楷体_GB2312" w:eastAsia="楷体_GB2312"/>
        <w:sz w:val="21"/>
        <w:szCs w:val="21"/>
      </w:rPr>
    </w:pPr>
    <w:r>
      <w:rPr>
        <w:rFonts w:ascii="楷体_GB2312" w:eastAsia="楷体_GB2312"/>
        <w:sz w:val="21"/>
        <w:szCs w:val="21"/>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楷体_GB2312" w:eastAsia="楷体_GB2312"/>
        <w:sz w:val="21"/>
        <w:szCs w:val="21"/>
      </w:rPr>
    </w:pPr>
    <w:r>
      <w:rPr>
        <w:rFonts w:hint="eastAsia" w:ascii="楷体_GB2312" w:hAnsi="华文中宋" w:eastAsia="楷体_GB2312"/>
        <w:sz w:val="21"/>
        <w:szCs w:val="21"/>
      </w:rPr>
      <w:t>第三章 报价文件内容及格式</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pict>
        <v:shape id="PowerPlusWaterMarkObject124978356" o:spid="_x0000_s1038" o:spt="136" type="#_x0000_t136" style="position:absolute;left:0pt;height:219.8pt;width:439.6pt;mso-position-horizontal:center;mso-position-horizontal-relative:margin;mso-position-vertical:center;mso-position-vertical-relative:margin;rotation:20643840f;z-index:-251652096;mso-width-relative:page;mso-height-relative:page;" fillcolor="#C0C0C0" filled="t" stroked="f" coordsize="21600,21600" o:allowincell="f">
          <v:path/>
          <v:fill on="t" opacity="32768f" focussize="0,0"/>
          <v:stroke on="f"/>
          <v:imagedata o:title=""/>
          <o:lock v:ext="edit"/>
          <v:textpath on="t" fitshape="t" fitpath="t" trim="f" xscale="f" string="线下" style="font-family:宋体;font-size:1pt;v-text-align:center;"/>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pict>
        <v:shape id="PowerPlusWaterMarkObject124978355" o:spid="_x0000_s1037" o:spt="136" type="#_x0000_t136" style="position:absolute;left:0pt;height:219.8pt;width:439.6pt;mso-position-horizontal:center;mso-position-horizontal-relative:margin;mso-position-vertical:center;mso-position-vertical-relative:margin;rotation:20643840f;z-index:-251653120;mso-width-relative:page;mso-height-relative:page;" fillcolor="#C0C0C0" filled="t" stroked="f" coordsize="21600,21600" o:allowincell="f">
          <v:path/>
          <v:fill on="t" opacity="32768f" focussize="0,0"/>
          <v:stroke on="f"/>
          <v:imagedata o:title=""/>
          <o:lock v:ext="edit"/>
          <v:textpath on="t" fitshape="t" fitpath="t" trim="f" xscale="f" string="线下" style="font-family:宋体;font-size:1pt;v-text-align:center;"/>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rPr>
        <w:rFonts w:ascii="楷体_GB2312" w:eastAsia="楷体_GB2312"/>
        <w:bCs/>
        <w:sz w:val="21"/>
        <w:szCs w:val="21"/>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楷体_GB2312" w:hAnsi="楷体" w:eastAsia="楷体_GB2312" w:cs="楷体"/>
        <w:sz w:val="21"/>
        <w:szCs w:val="21"/>
      </w:rPr>
    </w:pPr>
    <w:r>
      <w:rPr>
        <w:rFonts w:hint="eastAsia" w:ascii="楷体_GB2312" w:hAnsi="楷体" w:eastAsia="楷体_GB2312" w:cs="楷体"/>
        <w:sz w:val="21"/>
        <w:szCs w:val="21"/>
      </w:rPr>
      <w:t>第七章 合同样本</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rPr>
        <w:rFonts w:ascii="楷体_GB2312" w:eastAsia="楷体_GB2312"/>
        <w:sz w:val="21"/>
        <w:szCs w:val="21"/>
      </w:rPr>
    </w:pP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jc w:val="both"/>
      <w:rPr>
        <w:rFonts w:ascii="楷体_GB2312" w:eastAsia="楷体_GB2312"/>
        <w:sz w:val="21"/>
        <w:szCs w:val="21"/>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楷体" w:hAnsi="楷体" w:eastAsia="楷体" w:cs="楷体"/>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pict>
        <v:shape id="PowerPlusWaterMarkObject124978344" o:spid="_x0000_s1026" o:spt="136" type="#_x0000_t136" style="position:absolute;left:0pt;height:219.8pt;width:439.6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f" xscale="f" string="线下"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pict>
        <v:shape id="PowerPlusWaterMarkObject124978343" o:spid="_x0000_s1025" o:spt="136" type="#_x0000_t136" style="position:absolute;left:0pt;height:219.8pt;width:439.6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f" xscale="f" string="线下"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楷体_GB2312" w:eastAsia="楷体_GB2312"/>
        <w:sz w:val="21"/>
        <w:szCs w:val="21"/>
      </w:rPr>
    </w:pPr>
    <w:r>
      <w:rPr>
        <w:rFonts w:hint="eastAsia" w:ascii="楷体_GB2312" w:hAnsi="华文中宋" w:eastAsia="楷体_GB2312"/>
        <w:sz w:val="21"/>
        <w:szCs w:val="21"/>
      </w:rPr>
      <w:t>第一章 谈判须知</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pict>
        <v:shape id="PowerPlusWaterMarkObject124978350" o:spid="_x0000_s1040" o:spt="136" type="#_x0000_t136" style="position:absolute;left:0pt;height:219.8pt;width:439.6pt;mso-position-horizontal:center;mso-position-horizontal-relative:margin;mso-position-vertical:center;mso-position-vertical-relative:margin;rotation:20643840f;z-index:-251646976;mso-width-relative:page;mso-height-relative:page;" fillcolor="#C0C0C0" filled="t" stroked="f" coordsize="21600,21600" o:allowincell="f">
          <v:path/>
          <v:fill on="t" opacity="32768f" focussize="0,0"/>
          <v:stroke on="f"/>
          <v:imagedata o:title=""/>
          <o:lock v:ext="edit"/>
          <v:textpath on="t" fitshape="t" fitpath="t" trim="f" xscale="f" string="线下"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pict>
        <v:shape id="PowerPlusWaterMarkObject124978349" o:spid="_x0000_s1039" o:spt="136" type="#_x0000_t136" style="position:absolute;left:0pt;height:219.8pt;width:439.6pt;mso-position-horizontal:center;mso-position-horizontal-relative:margin;mso-position-vertical:center;mso-position-vertical-relative:margin;rotation:20643840f;z-index:-251648000;mso-width-relative:page;mso-height-relative:page;" fillcolor="#C0C0C0" filled="t" stroked="f" coordsize="21600,21600" o:allowincell="f">
          <v:path/>
          <v:fill on="t" opacity="32768f" focussize="0,0"/>
          <v:stroke on="f"/>
          <v:imagedata o:title=""/>
          <o:lock v:ext="edit"/>
          <v:textpath on="t" fitshape="t" fitpath="t" trim="f" xscale="f" string="线下"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楷体_GB2312" w:eastAsia="楷体_GB2312"/>
        <w:sz w:val="21"/>
        <w:szCs w:val="21"/>
      </w:rPr>
    </w:pPr>
    <w:r>
      <w:rPr>
        <w:rFonts w:hint="eastAsia" w:ascii="楷体_GB2312" w:hAnsi="华文中宋" w:eastAsia="楷体_GB2312"/>
        <w:sz w:val="21"/>
        <w:szCs w:val="21"/>
      </w:rPr>
      <w:t>第二章 合同通用条款</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pict>
        <v:shape id="PowerPlusWaterMarkObject124978353" o:spid="_x0000_s1035" o:spt="136" type="#_x0000_t136" style="position:absolute;left:0pt;height:219.8pt;width:439.6pt;mso-position-horizontal:center;mso-position-horizontal-relative:margin;mso-position-vertical:center;mso-position-vertical-relative:margin;rotation:20643840f;z-index:-251654144;mso-width-relative:page;mso-height-relative:page;" fillcolor="#C0C0C0" filled="t" stroked="f" coordsize="21600,21600" o:allowincell="f">
          <v:path/>
          <v:fill on="t" opacity="32768f" focussize="0,0"/>
          <v:stroke on="f"/>
          <v:imagedata o:title=""/>
          <o:lock v:ext="edit"/>
          <v:textpath on="t" fitshape="t" fitpath="t" trim="f" xscale="f" string="线下" style="font-family:宋体;font-size:1pt;v-text-align:center;"/>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pict>
        <v:shape id="PowerPlusWaterMarkObject124978352" o:spid="_x0000_s1034" o:spt="136" type="#_x0000_t136" style="position:absolute;left:0pt;height:219.8pt;width:439.6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shape="t" fitpath="t" trim="f" xscale="f" string="线下"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2D4344"/>
    <w:multiLevelType w:val="multilevel"/>
    <w:tmpl w:val="052D4344"/>
    <w:lvl w:ilvl="0" w:tentative="0">
      <w:start w:val="1"/>
      <w:numFmt w:val="decimal"/>
      <w:suff w:val="nothing"/>
      <w:lvlText w:val="%1"/>
      <w:lvlJc w:val="left"/>
      <w:pPr>
        <w:ind w:left="388" w:hanging="36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7F2511F9"/>
    <w:multiLevelType w:val="multilevel"/>
    <w:tmpl w:val="7F2511F9"/>
    <w:lvl w:ilvl="0" w:tentative="0">
      <w:start w:val="1"/>
      <w:numFmt w:val="japaneseCounting"/>
      <w:lvlText w:val="（%1）"/>
      <w:lvlJc w:val="left"/>
      <w:pPr>
        <w:ind w:left="1415" w:hanging="855"/>
      </w:pPr>
      <w:rPr>
        <w:rFonts w:hint="default"/>
        <w:lang w:val="en-US"/>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yODA5MDVmOTVhMWU5OTZiZGQ1MjhjNGRmZTNlZmYifQ=="/>
  </w:docVars>
  <w:rsids>
    <w:rsidRoot w:val="007434B4"/>
    <w:rsid w:val="00000A61"/>
    <w:rsid w:val="00000A83"/>
    <w:rsid w:val="000013FE"/>
    <w:rsid w:val="0000186F"/>
    <w:rsid w:val="00001A03"/>
    <w:rsid w:val="00002521"/>
    <w:rsid w:val="00002568"/>
    <w:rsid w:val="00002840"/>
    <w:rsid w:val="000037DE"/>
    <w:rsid w:val="00003D23"/>
    <w:rsid w:val="0000430D"/>
    <w:rsid w:val="00004EAF"/>
    <w:rsid w:val="00005843"/>
    <w:rsid w:val="00006552"/>
    <w:rsid w:val="0001024D"/>
    <w:rsid w:val="00010382"/>
    <w:rsid w:val="00011281"/>
    <w:rsid w:val="00012D8A"/>
    <w:rsid w:val="00013365"/>
    <w:rsid w:val="00013466"/>
    <w:rsid w:val="00013574"/>
    <w:rsid w:val="00013923"/>
    <w:rsid w:val="00014A82"/>
    <w:rsid w:val="00014A8D"/>
    <w:rsid w:val="00015858"/>
    <w:rsid w:val="00015A29"/>
    <w:rsid w:val="00015E56"/>
    <w:rsid w:val="0001617A"/>
    <w:rsid w:val="00017581"/>
    <w:rsid w:val="000175E8"/>
    <w:rsid w:val="00017CF0"/>
    <w:rsid w:val="00017F9C"/>
    <w:rsid w:val="00024C6B"/>
    <w:rsid w:val="000252F0"/>
    <w:rsid w:val="00025EED"/>
    <w:rsid w:val="00027D0F"/>
    <w:rsid w:val="00030A53"/>
    <w:rsid w:val="00031705"/>
    <w:rsid w:val="00031A88"/>
    <w:rsid w:val="00031BBE"/>
    <w:rsid w:val="00031C52"/>
    <w:rsid w:val="00032D53"/>
    <w:rsid w:val="000333AE"/>
    <w:rsid w:val="00033EFF"/>
    <w:rsid w:val="000341DE"/>
    <w:rsid w:val="00035663"/>
    <w:rsid w:val="000358FA"/>
    <w:rsid w:val="00035B2B"/>
    <w:rsid w:val="00035C13"/>
    <w:rsid w:val="00036320"/>
    <w:rsid w:val="0003715A"/>
    <w:rsid w:val="0003794C"/>
    <w:rsid w:val="00040247"/>
    <w:rsid w:val="00040313"/>
    <w:rsid w:val="00040E14"/>
    <w:rsid w:val="0004234C"/>
    <w:rsid w:val="0004444E"/>
    <w:rsid w:val="00045855"/>
    <w:rsid w:val="00045B4B"/>
    <w:rsid w:val="000460A8"/>
    <w:rsid w:val="00046881"/>
    <w:rsid w:val="00046B3B"/>
    <w:rsid w:val="00047440"/>
    <w:rsid w:val="0004759C"/>
    <w:rsid w:val="00047E16"/>
    <w:rsid w:val="00047F88"/>
    <w:rsid w:val="0005019F"/>
    <w:rsid w:val="00050652"/>
    <w:rsid w:val="000508AD"/>
    <w:rsid w:val="0005168D"/>
    <w:rsid w:val="0005208E"/>
    <w:rsid w:val="00052342"/>
    <w:rsid w:val="00052B20"/>
    <w:rsid w:val="00052DBD"/>
    <w:rsid w:val="0005383E"/>
    <w:rsid w:val="00053BE1"/>
    <w:rsid w:val="00053C94"/>
    <w:rsid w:val="00055AC8"/>
    <w:rsid w:val="000566BD"/>
    <w:rsid w:val="0005678A"/>
    <w:rsid w:val="0005701C"/>
    <w:rsid w:val="00057A68"/>
    <w:rsid w:val="00060695"/>
    <w:rsid w:val="000606A2"/>
    <w:rsid w:val="00060C04"/>
    <w:rsid w:val="0006124F"/>
    <w:rsid w:val="00061310"/>
    <w:rsid w:val="000614FC"/>
    <w:rsid w:val="00061914"/>
    <w:rsid w:val="000620A1"/>
    <w:rsid w:val="000638C9"/>
    <w:rsid w:val="0006395F"/>
    <w:rsid w:val="00065B10"/>
    <w:rsid w:val="00065B59"/>
    <w:rsid w:val="000662FC"/>
    <w:rsid w:val="000666F2"/>
    <w:rsid w:val="000675E6"/>
    <w:rsid w:val="000677C7"/>
    <w:rsid w:val="00067D0B"/>
    <w:rsid w:val="000709FB"/>
    <w:rsid w:val="00070B21"/>
    <w:rsid w:val="00070F95"/>
    <w:rsid w:val="0007140C"/>
    <w:rsid w:val="0007188D"/>
    <w:rsid w:val="00072573"/>
    <w:rsid w:val="0007343D"/>
    <w:rsid w:val="000740D0"/>
    <w:rsid w:val="00074523"/>
    <w:rsid w:val="000745C1"/>
    <w:rsid w:val="0007473A"/>
    <w:rsid w:val="00074CB8"/>
    <w:rsid w:val="00076502"/>
    <w:rsid w:val="000775DD"/>
    <w:rsid w:val="000777C0"/>
    <w:rsid w:val="00077E78"/>
    <w:rsid w:val="00081000"/>
    <w:rsid w:val="00082346"/>
    <w:rsid w:val="00082EBA"/>
    <w:rsid w:val="0008332D"/>
    <w:rsid w:val="00083A04"/>
    <w:rsid w:val="00083B76"/>
    <w:rsid w:val="000841E5"/>
    <w:rsid w:val="00085204"/>
    <w:rsid w:val="00085B42"/>
    <w:rsid w:val="00086CA3"/>
    <w:rsid w:val="00086D4B"/>
    <w:rsid w:val="00087522"/>
    <w:rsid w:val="00087CA6"/>
    <w:rsid w:val="000904BC"/>
    <w:rsid w:val="0009082C"/>
    <w:rsid w:val="000909AB"/>
    <w:rsid w:val="00090D47"/>
    <w:rsid w:val="00091751"/>
    <w:rsid w:val="000917F5"/>
    <w:rsid w:val="000921D2"/>
    <w:rsid w:val="00092E61"/>
    <w:rsid w:val="00094343"/>
    <w:rsid w:val="0009483A"/>
    <w:rsid w:val="0009530E"/>
    <w:rsid w:val="0009567C"/>
    <w:rsid w:val="00095A0E"/>
    <w:rsid w:val="00096239"/>
    <w:rsid w:val="00096A68"/>
    <w:rsid w:val="00097766"/>
    <w:rsid w:val="00097FB9"/>
    <w:rsid w:val="000A0CD6"/>
    <w:rsid w:val="000A1036"/>
    <w:rsid w:val="000A2575"/>
    <w:rsid w:val="000A25D2"/>
    <w:rsid w:val="000A2631"/>
    <w:rsid w:val="000A2B8B"/>
    <w:rsid w:val="000A3313"/>
    <w:rsid w:val="000A3BB4"/>
    <w:rsid w:val="000A4283"/>
    <w:rsid w:val="000A4354"/>
    <w:rsid w:val="000A4742"/>
    <w:rsid w:val="000A50C8"/>
    <w:rsid w:val="000A6658"/>
    <w:rsid w:val="000A75D0"/>
    <w:rsid w:val="000B0390"/>
    <w:rsid w:val="000B0F6F"/>
    <w:rsid w:val="000B1637"/>
    <w:rsid w:val="000B1715"/>
    <w:rsid w:val="000B2648"/>
    <w:rsid w:val="000B2722"/>
    <w:rsid w:val="000B2905"/>
    <w:rsid w:val="000B320F"/>
    <w:rsid w:val="000B33DF"/>
    <w:rsid w:val="000B34F6"/>
    <w:rsid w:val="000B3A4F"/>
    <w:rsid w:val="000B447F"/>
    <w:rsid w:val="000B4504"/>
    <w:rsid w:val="000B48CB"/>
    <w:rsid w:val="000B5D7D"/>
    <w:rsid w:val="000B5E13"/>
    <w:rsid w:val="000B67D9"/>
    <w:rsid w:val="000B6A6A"/>
    <w:rsid w:val="000B7DF1"/>
    <w:rsid w:val="000C035B"/>
    <w:rsid w:val="000C0714"/>
    <w:rsid w:val="000C0BA1"/>
    <w:rsid w:val="000C16CF"/>
    <w:rsid w:val="000C188C"/>
    <w:rsid w:val="000C245B"/>
    <w:rsid w:val="000C2AE6"/>
    <w:rsid w:val="000C32F8"/>
    <w:rsid w:val="000C354A"/>
    <w:rsid w:val="000C4FD9"/>
    <w:rsid w:val="000C52A0"/>
    <w:rsid w:val="000C6B2C"/>
    <w:rsid w:val="000C70C2"/>
    <w:rsid w:val="000C7812"/>
    <w:rsid w:val="000D00A1"/>
    <w:rsid w:val="000D04C8"/>
    <w:rsid w:val="000D0769"/>
    <w:rsid w:val="000D0E5E"/>
    <w:rsid w:val="000D1018"/>
    <w:rsid w:val="000D211B"/>
    <w:rsid w:val="000D2A3F"/>
    <w:rsid w:val="000D344B"/>
    <w:rsid w:val="000D5249"/>
    <w:rsid w:val="000D5F13"/>
    <w:rsid w:val="000D6185"/>
    <w:rsid w:val="000D6514"/>
    <w:rsid w:val="000D6ECB"/>
    <w:rsid w:val="000D76E5"/>
    <w:rsid w:val="000E0761"/>
    <w:rsid w:val="000E0802"/>
    <w:rsid w:val="000E0BAE"/>
    <w:rsid w:val="000E1142"/>
    <w:rsid w:val="000E166F"/>
    <w:rsid w:val="000E1A7A"/>
    <w:rsid w:val="000E3DCC"/>
    <w:rsid w:val="000E4525"/>
    <w:rsid w:val="000E46D9"/>
    <w:rsid w:val="000E4E77"/>
    <w:rsid w:val="000E4E95"/>
    <w:rsid w:val="000E50DD"/>
    <w:rsid w:val="000E640C"/>
    <w:rsid w:val="000E7308"/>
    <w:rsid w:val="000E7417"/>
    <w:rsid w:val="000E741F"/>
    <w:rsid w:val="000F093B"/>
    <w:rsid w:val="000F171A"/>
    <w:rsid w:val="000F1903"/>
    <w:rsid w:val="000F1A45"/>
    <w:rsid w:val="000F1AF9"/>
    <w:rsid w:val="000F21C8"/>
    <w:rsid w:val="000F3713"/>
    <w:rsid w:val="000F376A"/>
    <w:rsid w:val="000F37AB"/>
    <w:rsid w:val="000F4155"/>
    <w:rsid w:val="000F4491"/>
    <w:rsid w:val="000F44CB"/>
    <w:rsid w:val="000F4F2F"/>
    <w:rsid w:val="000F5866"/>
    <w:rsid w:val="000F620C"/>
    <w:rsid w:val="000F6717"/>
    <w:rsid w:val="000F6981"/>
    <w:rsid w:val="000F7591"/>
    <w:rsid w:val="001000C3"/>
    <w:rsid w:val="0010071B"/>
    <w:rsid w:val="00100CE4"/>
    <w:rsid w:val="001027BD"/>
    <w:rsid w:val="0010312A"/>
    <w:rsid w:val="001047E3"/>
    <w:rsid w:val="00104908"/>
    <w:rsid w:val="00104D5D"/>
    <w:rsid w:val="00105A9C"/>
    <w:rsid w:val="00106446"/>
    <w:rsid w:val="00106598"/>
    <w:rsid w:val="00107077"/>
    <w:rsid w:val="00107DD7"/>
    <w:rsid w:val="00107FD9"/>
    <w:rsid w:val="00110005"/>
    <w:rsid w:val="00110169"/>
    <w:rsid w:val="00110B4B"/>
    <w:rsid w:val="001113FC"/>
    <w:rsid w:val="00111596"/>
    <w:rsid w:val="00111CC9"/>
    <w:rsid w:val="00111F7C"/>
    <w:rsid w:val="0011207D"/>
    <w:rsid w:val="00112A3D"/>
    <w:rsid w:val="00112C5C"/>
    <w:rsid w:val="001133AC"/>
    <w:rsid w:val="00113C61"/>
    <w:rsid w:val="00114B15"/>
    <w:rsid w:val="00115CAE"/>
    <w:rsid w:val="00117058"/>
    <w:rsid w:val="00117143"/>
    <w:rsid w:val="00120369"/>
    <w:rsid w:val="00120A2E"/>
    <w:rsid w:val="00120B65"/>
    <w:rsid w:val="001217FB"/>
    <w:rsid w:val="00121A14"/>
    <w:rsid w:val="00121A30"/>
    <w:rsid w:val="001228FD"/>
    <w:rsid w:val="001232B6"/>
    <w:rsid w:val="001240B1"/>
    <w:rsid w:val="00124345"/>
    <w:rsid w:val="00124FA7"/>
    <w:rsid w:val="00125769"/>
    <w:rsid w:val="00125F48"/>
    <w:rsid w:val="001260C6"/>
    <w:rsid w:val="00126231"/>
    <w:rsid w:val="001264B5"/>
    <w:rsid w:val="001264DC"/>
    <w:rsid w:val="00127083"/>
    <w:rsid w:val="0012740B"/>
    <w:rsid w:val="0013114F"/>
    <w:rsid w:val="0013172D"/>
    <w:rsid w:val="001322EF"/>
    <w:rsid w:val="001324B3"/>
    <w:rsid w:val="001336E5"/>
    <w:rsid w:val="00133EE2"/>
    <w:rsid w:val="001340C2"/>
    <w:rsid w:val="001345E9"/>
    <w:rsid w:val="00134894"/>
    <w:rsid w:val="001348D3"/>
    <w:rsid w:val="00135375"/>
    <w:rsid w:val="001370E3"/>
    <w:rsid w:val="00137DBD"/>
    <w:rsid w:val="00137DCD"/>
    <w:rsid w:val="00140DA3"/>
    <w:rsid w:val="001411CB"/>
    <w:rsid w:val="001413DF"/>
    <w:rsid w:val="001416CB"/>
    <w:rsid w:val="00141BEE"/>
    <w:rsid w:val="0014223B"/>
    <w:rsid w:val="00143121"/>
    <w:rsid w:val="00144141"/>
    <w:rsid w:val="0014428B"/>
    <w:rsid w:val="00144B01"/>
    <w:rsid w:val="00144C3B"/>
    <w:rsid w:val="00144F97"/>
    <w:rsid w:val="00145474"/>
    <w:rsid w:val="0014575C"/>
    <w:rsid w:val="00145791"/>
    <w:rsid w:val="00145878"/>
    <w:rsid w:val="0014699B"/>
    <w:rsid w:val="00146D14"/>
    <w:rsid w:val="00146FCF"/>
    <w:rsid w:val="00151BA6"/>
    <w:rsid w:val="0015269F"/>
    <w:rsid w:val="00153432"/>
    <w:rsid w:val="00153AE6"/>
    <w:rsid w:val="00153C89"/>
    <w:rsid w:val="00155095"/>
    <w:rsid w:val="00156049"/>
    <w:rsid w:val="0015624F"/>
    <w:rsid w:val="001564DB"/>
    <w:rsid w:val="00156F75"/>
    <w:rsid w:val="00157416"/>
    <w:rsid w:val="00157B5A"/>
    <w:rsid w:val="00160E3C"/>
    <w:rsid w:val="00161540"/>
    <w:rsid w:val="001617E9"/>
    <w:rsid w:val="00161B9A"/>
    <w:rsid w:val="00162175"/>
    <w:rsid w:val="00162403"/>
    <w:rsid w:val="0016254E"/>
    <w:rsid w:val="0016265E"/>
    <w:rsid w:val="00162F23"/>
    <w:rsid w:val="001637C1"/>
    <w:rsid w:val="00164199"/>
    <w:rsid w:val="0016451E"/>
    <w:rsid w:val="00164C0D"/>
    <w:rsid w:val="00164CFA"/>
    <w:rsid w:val="001655DB"/>
    <w:rsid w:val="0016583A"/>
    <w:rsid w:val="001663C1"/>
    <w:rsid w:val="00166A7A"/>
    <w:rsid w:val="00166F38"/>
    <w:rsid w:val="00166F58"/>
    <w:rsid w:val="00167313"/>
    <w:rsid w:val="001673AD"/>
    <w:rsid w:val="00167763"/>
    <w:rsid w:val="001708E8"/>
    <w:rsid w:val="00170AAA"/>
    <w:rsid w:val="00170E24"/>
    <w:rsid w:val="00170F11"/>
    <w:rsid w:val="0017148D"/>
    <w:rsid w:val="00171F60"/>
    <w:rsid w:val="0017284E"/>
    <w:rsid w:val="0017334A"/>
    <w:rsid w:val="00173713"/>
    <w:rsid w:val="00173A95"/>
    <w:rsid w:val="00173D83"/>
    <w:rsid w:val="0017404D"/>
    <w:rsid w:val="00175C3F"/>
    <w:rsid w:val="00175FE2"/>
    <w:rsid w:val="0017633E"/>
    <w:rsid w:val="001773C6"/>
    <w:rsid w:val="0017741D"/>
    <w:rsid w:val="001810E9"/>
    <w:rsid w:val="00181D2E"/>
    <w:rsid w:val="001828D3"/>
    <w:rsid w:val="00183543"/>
    <w:rsid w:val="00183B31"/>
    <w:rsid w:val="001846F2"/>
    <w:rsid w:val="001850A4"/>
    <w:rsid w:val="00185B43"/>
    <w:rsid w:val="00186927"/>
    <w:rsid w:val="001870D2"/>
    <w:rsid w:val="00190053"/>
    <w:rsid w:val="00190101"/>
    <w:rsid w:val="00190C8F"/>
    <w:rsid w:val="00191A57"/>
    <w:rsid w:val="00192075"/>
    <w:rsid w:val="001932A5"/>
    <w:rsid w:val="00193526"/>
    <w:rsid w:val="00193C11"/>
    <w:rsid w:val="00194270"/>
    <w:rsid w:val="00195771"/>
    <w:rsid w:val="001960A0"/>
    <w:rsid w:val="00197441"/>
    <w:rsid w:val="001977A5"/>
    <w:rsid w:val="00197B7E"/>
    <w:rsid w:val="001A053D"/>
    <w:rsid w:val="001A101A"/>
    <w:rsid w:val="001A12A4"/>
    <w:rsid w:val="001A130A"/>
    <w:rsid w:val="001A14B1"/>
    <w:rsid w:val="001A2976"/>
    <w:rsid w:val="001A2B6D"/>
    <w:rsid w:val="001A3AA5"/>
    <w:rsid w:val="001A3AFC"/>
    <w:rsid w:val="001A3B29"/>
    <w:rsid w:val="001A3BCB"/>
    <w:rsid w:val="001A4D9B"/>
    <w:rsid w:val="001A561A"/>
    <w:rsid w:val="001A58C6"/>
    <w:rsid w:val="001A59EB"/>
    <w:rsid w:val="001A5BD5"/>
    <w:rsid w:val="001A67D3"/>
    <w:rsid w:val="001B0115"/>
    <w:rsid w:val="001B0B82"/>
    <w:rsid w:val="001B11F6"/>
    <w:rsid w:val="001B1405"/>
    <w:rsid w:val="001B15B8"/>
    <w:rsid w:val="001B2294"/>
    <w:rsid w:val="001B313B"/>
    <w:rsid w:val="001B383C"/>
    <w:rsid w:val="001B4531"/>
    <w:rsid w:val="001B4F01"/>
    <w:rsid w:val="001B589D"/>
    <w:rsid w:val="001B5907"/>
    <w:rsid w:val="001B5C78"/>
    <w:rsid w:val="001B5D87"/>
    <w:rsid w:val="001B6C7A"/>
    <w:rsid w:val="001B7056"/>
    <w:rsid w:val="001B734C"/>
    <w:rsid w:val="001B77B0"/>
    <w:rsid w:val="001C00F5"/>
    <w:rsid w:val="001C049D"/>
    <w:rsid w:val="001C0AA4"/>
    <w:rsid w:val="001C0C83"/>
    <w:rsid w:val="001C0D4F"/>
    <w:rsid w:val="001C2072"/>
    <w:rsid w:val="001C274B"/>
    <w:rsid w:val="001C2DAC"/>
    <w:rsid w:val="001C2FB2"/>
    <w:rsid w:val="001C3481"/>
    <w:rsid w:val="001C4E4C"/>
    <w:rsid w:val="001C5444"/>
    <w:rsid w:val="001C6699"/>
    <w:rsid w:val="001C685E"/>
    <w:rsid w:val="001C737E"/>
    <w:rsid w:val="001C7A6F"/>
    <w:rsid w:val="001C7B25"/>
    <w:rsid w:val="001D0129"/>
    <w:rsid w:val="001D06C8"/>
    <w:rsid w:val="001D0F5F"/>
    <w:rsid w:val="001D1282"/>
    <w:rsid w:val="001D1A86"/>
    <w:rsid w:val="001D26DC"/>
    <w:rsid w:val="001D300D"/>
    <w:rsid w:val="001D302B"/>
    <w:rsid w:val="001D37A8"/>
    <w:rsid w:val="001D4A1C"/>
    <w:rsid w:val="001D558F"/>
    <w:rsid w:val="001D574C"/>
    <w:rsid w:val="001D5B75"/>
    <w:rsid w:val="001E0663"/>
    <w:rsid w:val="001E162A"/>
    <w:rsid w:val="001E1D4A"/>
    <w:rsid w:val="001E2054"/>
    <w:rsid w:val="001E30C2"/>
    <w:rsid w:val="001E3396"/>
    <w:rsid w:val="001E385A"/>
    <w:rsid w:val="001E3A6E"/>
    <w:rsid w:val="001E3AF6"/>
    <w:rsid w:val="001E3D6A"/>
    <w:rsid w:val="001E4458"/>
    <w:rsid w:val="001E59F7"/>
    <w:rsid w:val="001E5D15"/>
    <w:rsid w:val="001E6A66"/>
    <w:rsid w:val="001E6EC4"/>
    <w:rsid w:val="001F075D"/>
    <w:rsid w:val="001F130D"/>
    <w:rsid w:val="001F1819"/>
    <w:rsid w:val="001F25A9"/>
    <w:rsid w:val="001F3A23"/>
    <w:rsid w:val="001F4878"/>
    <w:rsid w:val="001F4C67"/>
    <w:rsid w:val="001F5321"/>
    <w:rsid w:val="001F534E"/>
    <w:rsid w:val="001F5B18"/>
    <w:rsid w:val="001F724E"/>
    <w:rsid w:val="001F7AFA"/>
    <w:rsid w:val="001F7DF3"/>
    <w:rsid w:val="00200789"/>
    <w:rsid w:val="002008A9"/>
    <w:rsid w:val="00200C39"/>
    <w:rsid w:val="00200D09"/>
    <w:rsid w:val="002018AB"/>
    <w:rsid w:val="002023F0"/>
    <w:rsid w:val="0020308E"/>
    <w:rsid w:val="00203B8B"/>
    <w:rsid w:val="00203EA6"/>
    <w:rsid w:val="00205CF8"/>
    <w:rsid w:val="00205FE6"/>
    <w:rsid w:val="00206018"/>
    <w:rsid w:val="00207D02"/>
    <w:rsid w:val="00210EE8"/>
    <w:rsid w:val="00210F21"/>
    <w:rsid w:val="00211F38"/>
    <w:rsid w:val="00212851"/>
    <w:rsid w:val="0021548B"/>
    <w:rsid w:val="002157B6"/>
    <w:rsid w:val="00215C17"/>
    <w:rsid w:val="00215D98"/>
    <w:rsid w:val="00216282"/>
    <w:rsid w:val="00216FA2"/>
    <w:rsid w:val="002203CE"/>
    <w:rsid w:val="00221240"/>
    <w:rsid w:val="00221600"/>
    <w:rsid w:val="00221BE4"/>
    <w:rsid w:val="0022324C"/>
    <w:rsid w:val="00223541"/>
    <w:rsid w:val="00223B66"/>
    <w:rsid w:val="002240A4"/>
    <w:rsid w:val="0022478B"/>
    <w:rsid w:val="00224BF9"/>
    <w:rsid w:val="002253F6"/>
    <w:rsid w:val="00225547"/>
    <w:rsid w:val="0022641B"/>
    <w:rsid w:val="00226CCD"/>
    <w:rsid w:val="00227AF9"/>
    <w:rsid w:val="00227BCE"/>
    <w:rsid w:val="002303FF"/>
    <w:rsid w:val="002307DA"/>
    <w:rsid w:val="00230B4C"/>
    <w:rsid w:val="00231C9E"/>
    <w:rsid w:val="0023235C"/>
    <w:rsid w:val="00232836"/>
    <w:rsid w:val="00232D80"/>
    <w:rsid w:val="0023339C"/>
    <w:rsid w:val="00234309"/>
    <w:rsid w:val="00234F89"/>
    <w:rsid w:val="00235123"/>
    <w:rsid w:val="002362FB"/>
    <w:rsid w:val="002416E2"/>
    <w:rsid w:val="002419D0"/>
    <w:rsid w:val="00242897"/>
    <w:rsid w:val="00242A62"/>
    <w:rsid w:val="00243436"/>
    <w:rsid w:val="002440DA"/>
    <w:rsid w:val="002444EA"/>
    <w:rsid w:val="00244B2A"/>
    <w:rsid w:val="0024502F"/>
    <w:rsid w:val="00245BAC"/>
    <w:rsid w:val="00245EF6"/>
    <w:rsid w:val="00250A62"/>
    <w:rsid w:val="00250EAD"/>
    <w:rsid w:val="0025131F"/>
    <w:rsid w:val="002521A3"/>
    <w:rsid w:val="0025341F"/>
    <w:rsid w:val="00253669"/>
    <w:rsid w:val="00253FFF"/>
    <w:rsid w:val="00255AC7"/>
    <w:rsid w:val="002569C5"/>
    <w:rsid w:val="00256A84"/>
    <w:rsid w:val="00257F4D"/>
    <w:rsid w:val="00260902"/>
    <w:rsid w:val="00260A71"/>
    <w:rsid w:val="0026198C"/>
    <w:rsid w:val="00261AC6"/>
    <w:rsid w:val="00262FCB"/>
    <w:rsid w:val="00263A46"/>
    <w:rsid w:val="00263AB2"/>
    <w:rsid w:val="002643E5"/>
    <w:rsid w:val="00264503"/>
    <w:rsid w:val="0026458D"/>
    <w:rsid w:val="00264EB2"/>
    <w:rsid w:val="00265009"/>
    <w:rsid w:val="0026705D"/>
    <w:rsid w:val="00267C83"/>
    <w:rsid w:val="002702C6"/>
    <w:rsid w:val="00270841"/>
    <w:rsid w:val="00270DBF"/>
    <w:rsid w:val="00272498"/>
    <w:rsid w:val="002725A0"/>
    <w:rsid w:val="002725B6"/>
    <w:rsid w:val="002726B5"/>
    <w:rsid w:val="00272DCB"/>
    <w:rsid w:val="0027423B"/>
    <w:rsid w:val="002747D4"/>
    <w:rsid w:val="00275AE2"/>
    <w:rsid w:val="00276030"/>
    <w:rsid w:val="002764E4"/>
    <w:rsid w:val="00276AC4"/>
    <w:rsid w:val="00276F7B"/>
    <w:rsid w:val="0027767A"/>
    <w:rsid w:val="00277D4D"/>
    <w:rsid w:val="00280407"/>
    <w:rsid w:val="0028084E"/>
    <w:rsid w:val="002815E4"/>
    <w:rsid w:val="0028179E"/>
    <w:rsid w:val="0028240A"/>
    <w:rsid w:val="00282892"/>
    <w:rsid w:val="00283506"/>
    <w:rsid w:val="00283523"/>
    <w:rsid w:val="00283715"/>
    <w:rsid w:val="00283A43"/>
    <w:rsid w:val="002842BF"/>
    <w:rsid w:val="00284301"/>
    <w:rsid w:val="00284647"/>
    <w:rsid w:val="0028487B"/>
    <w:rsid w:val="002849EB"/>
    <w:rsid w:val="002853E8"/>
    <w:rsid w:val="002859F4"/>
    <w:rsid w:val="00285A81"/>
    <w:rsid w:val="00285BDF"/>
    <w:rsid w:val="00285F61"/>
    <w:rsid w:val="002862E3"/>
    <w:rsid w:val="002868A8"/>
    <w:rsid w:val="0028704A"/>
    <w:rsid w:val="00287BB6"/>
    <w:rsid w:val="00287E12"/>
    <w:rsid w:val="00290145"/>
    <w:rsid w:val="00290605"/>
    <w:rsid w:val="00290AA3"/>
    <w:rsid w:val="00290DAB"/>
    <w:rsid w:val="00291042"/>
    <w:rsid w:val="002913B9"/>
    <w:rsid w:val="0029153A"/>
    <w:rsid w:val="00291C24"/>
    <w:rsid w:val="00292441"/>
    <w:rsid w:val="00292657"/>
    <w:rsid w:val="00292F73"/>
    <w:rsid w:val="00293A07"/>
    <w:rsid w:val="00295039"/>
    <w:rsid w:val="002950BC"/>
    <w:rsid w:val="002958E2"/>
    <w:rsid w:val="00295CE8"/>
    <w:rsid w:val="002962B1"/>
    <w:rsid w:val="002965AD"/>
    <w:rsid w:val="00297B75"/>
    <w:rsid w:val="002A0C4E"/>
    <w:rsid w:val="002A15D6"/>
    <w:rsid w:val="002A1672"/>
    <w:rsid w:val="002A22D6"/>
    <w:rsid w:val="002A2B5D"/>
    <w:rsid w:val="002A2ED0"/>
    <w:rsid w:val="002A3505"/>
    <w:rsid w:val="002A3741"/>
    <w:rsid w:val="002A485E"/>
    <w:rsid w:val="002A4AAB"/>
    <w:rsid w:val="002A513E"/>
    <w:rsid w:val="002A5CB2"/>
    <w:rsid w:val="002A5E44"/>
    <w:rsid w:val="002A65E2"/>
    <w:rsid w:val="002A7BBC"/>
    <w:rsid w:val="002B00AE"/>
    <w:rsid w:val="002B12E2"/>
    <w:rsid w:val="002B1662"/>
    <w:rsid w:val="002B3F03"/>
    <w:rsid w:val="002B4148"/>
    <w:rsid w:val="002B469A"/>
    <w:rsid w:val="002B51EA"/>
    <w:rsid w:val="002B59E5"/>
    <w:rsid w:val="002B5C26"/>
    <w:rsid w:val="002B61C9"/>
    <w:rsid w:val="002B7974"/>
    <w:rsid w:val="002C0DD0"/>
    <w:rsid w:val="002C1AB9"/>
    <w:rsid w:val="002C2883"/>
    <w:rsid w:val="002C2D6E"/>
    <w:rsid w:val="002C3042"/>
    <w:rsid w:val="002C33EB"/>
    <w:rsid w:val="002C363B"/>
    <w:rsid w:val="002C465A"/>
    <w:rsid w:val="002C4AA2"/>
    <w:rsid w:val="002C55F3"/>
    <w:rsid w:val="002C666B"/>
    <w:rsid w:val="002C6C07"/>
    <w:rsid w:val="002C6E3F"/>
    <w:rsid w:val="002C7157"/>
    <w:rsid w:val="002C7A23"/>
    <w:rsid w:val="002D04E4"/>
    <w:rsid w:val="002D13DD"/>
    <w:rsid w:val="002D1777"/>
    <w:rsid w:val="002D25B7"/>
    <w:rsid w:val="002D2F30"/>
    <w:rsid w:val="002D33ED"/>
    <w:rsid w:val="002D47DE"/>
    <w:rsid w:val="002D54FF"/>
    <w:rsid w:val="002D565B"/>
    <w:rsid w:val="002D5C40"/>
    <w:rsid w:val="002D61AB"/>
    <w:rsid w:val="002D71AA"/>
    <w:rsid w:val="002D73B2"/>
    <w:rsid w:val="002D77A2"/>
    <w:rsid w:val="002D7BB2"/>
    <w:rsid w:val="002E1F2C"/>
    <w:rsid w:val="002E273F"/>
    <w:rsid w:val="002E28E9"/>
    <w:rsid w:val="002E348F"/>
    <w:rsid w:val="002E34F6"/>
    <w:rsid w:val="002E36ED"/>
    <w:rsid w:val="002E3E18"/>
    <w:rsid w:val="002E466F"/>
    <w:rsid w:val="002E6B73"/>
    <w:rsid w:val="002E6BFE"/>
    <w:rsid w:val="002F0995"/>
    <w:rsid w:val="002F0B3D"/>
    <w:rsid w:val="002F1878"/>
    <w:rsid w:val="002F1ED9"/>
    <w:rsid w:val="002F2CFB"/>
    <w:rsid w:val="002F2E14"/>
    <w:rsid w:val="002F35ED"/>
    <w:rsid w:val="002F4310"/>
    <w:rsid w:val="002F4865"/>
    <w:rsid w:val="002F499D"/>
    <w:rsid w:val="002F57E6"/>
    <w:rsid w:val="002F5B6F"/>
    <w:rsid w:val="002F654F"/>
    <w:rsid w:val="002F6D2B"/>
    <w:rsid w:val="002F7978"/>
    <w:rsid w:val="002F7B60"/>
    <w:rsid w:val="0030203A"/>
    <w:rsid w:val="003020CB"/>
    <w:rsid w:val="00302104"/>
    <w:rsid w:val="0030277D"/>
    <w:rsid w:val="00303573"/>
    <w:rsid w:val="00306A74"/>
    <w:rsid w:val="003113B9"/>
    <w:rsid w:val="00311CEC"/>
    <w:rsid w:val="00312B59"/>
    <w:rsid w:val="00313325"/>
    <w:rsid w:val="00313A4D"/>
    <w:rsid w:val="00313F34"/>
    <w:rsid w:val="00314ACC"/>
    <w:rsid w:val="00314DB9"/>
    <w:rsid w:val="003158D4"/>
    <w:rsid w:val="0031707F"/>
    <w:rsid w:val="00317639"/>
    <w:rsid w:val="00317C38"/>
    <w:rsid w:val="00320F57"/>
    <w:rsid w:val="00321CBA"/>
    <w:rsid w:val="00321E2F"/>
    <w:rsid w:val="00322ECB"/>
    <w:rsid w:val="0032303C"/>
    <w:rsid w:val="003246F2"/>
    <w:rsid w:val="00324865"/>
    <w:rsid w:val="003248E5"/>
    <w:rsid w:val="00324B01"/>
    <w:rsid w:val="00324E36"/>
    <w:rsid w:val="0032557C"/>
    <w:rsid w:val="003257AA"/>
    <w:rsid w:val="00326478"/>
    <w:rsid w:val="00326E9A"/>
    <w:rsid w:val="0032788A"/>
    <w:rsid w:val="00327D41"/>
    <w:rsid w:val="00331031"/>
    <w:rsid w:val="00331154"/>
    <w:rsid w:val="00331281"/>
    <w:rsid w:val="0033310A"/>
    <w:rsid w:val="003333CF"/>
    <w:rsid w:val="0033420E"/>
    <w:rsid w:val="003347D8"/>
    <w:rsid w:val="003347F8"/>
    <w:rsid w:val="003348AD"/>
    <w:rsid w:val="003350FF"/>
    <w:rsid w:val="003351E6"/>
    <w:rsid w:val="0033575A"/>
    <w:rsid w:val="003359F2"/>
    <w:rsid w:val="00335BF6"/>
    <w:rsid w:val="003367A2"/>
    <w:rsid w:val="00336D2D"/>
    <w:rsid w:val="00337271"/>
    <w:rsid w:val="00337FAE"/>
    <w:rsid w:val="00340374"/>
    <w:rsid w:val="003405B0"/>
    <w:rsid w:val="00340734"/>
    <w:rsid w:val="0034095A"/>
    <w:rsid w:val="00340B45"/>
    <w:rsid w:val="00341D21"/>
    <w:rsid w:val="0034287E"/>
    <w:rsid w:val="00342E44"/>
    <w:rsid w:val="00343125"/>
    <w:rsid w:val="00343334"/>
    <w:rsid w:val="0034486A"/>
    <w:rsid w:val="003453C0"/>
    <w:rsid w:val="00346577"/>
    <w:rsid w:val="00346A9F"/>
    <w:rsid w:val="00346F10"/>
    <w:rsid w:val="00347500"/>
    <w:rsid w:val="00347713"/>
    <w:rsid w:val="00347D18"/>
    <w:rsid w:val="00347DC8"/>
    <w:rsid w:val="00350642"/>
    <w:rsid w:val="0035087B"/>
    <w:rsid w:val="00352E5D"/>
    <w:rsid w:val="003538B4"/>
    <w:rsid w:val="00353D3F"/>
    <w:rsid w:val="003546A7"/>
    <w:rsid w:val="00354E41"/>
    <w:rsid w:val="00355F7D"/>
    <w:rsid w:val="003565D4"/>
    <w:rsid w:val="00356C0C"/>
    <w:rsid w:val="003571D2"/>
    <w:rsid w:val="00357A18"/>
    <w:rsid w:val="00357CAE"/>
    <w:rsid w:val="0036003D"/>
    <w:rsid w:val="00360170"/>
    <w:rsid w:val="003601EE"/>
    <w:rsid w:val="0036092F"/>
    <w:rsid w:val="0036212C"/>
    <w:rsid w:val="0036260D"/>
    <w:rsid w:val="003628FC"/>
    <w:rsid w:val="00363F24"/>
    <w:rsid w:val="00364709"/>
    <w:rsid w:val="00364E57"/>
    <w:rsid w:val="0036525E"/>
    <w:rsid w:val="00365849"/>
    <w:rsid w:val="00365CEB"/>
    <w:rsid w:val="0036608F"/>
    <w:rsid w:val="00367761"/>
    <w:rsid w:val="0037027C"/>
    <w:rsid w:val="00370315"/>
    <w:rsid w:val="00371061"/>
    <w:rsid w:val="003710EC"/>
    <w:rsid w:val="003723EC"/>
    <w:rsid w:val="003725C2"/>
    <w:rsid w:val="00372842"/>
    <w:rsid w:val="00372FC6"/>
    <w:rsid w:val="00373228"/>
    <w:rsid w:val="0037357C"/>
    <w:rsid w:val="003738C5"/>
    <w:rsid w:val="0037398C"/>
    <w:rsid w:val="00373BCB"/>
    <w:rsid w:val="00373DDA"/>
    <w:rsid w:val="003751D4"/>
    <w:rsid w:val="00375AFE"/>
    <w:rsid w:val="003765C9"/>
    <w:rsid w:val="00376B4A"/>
    <w:rsid w:val="00376BEA"/>
    <w:rsid w:val="003772B8"/>
    <w:rsid w:val="0037765F"/>
    <w:rsid w:val="0037789B"/>
    <w:rsid w:val="0038023F"/>
    <w:rsid w:val="003805C3"/>
    <w:rsid w:val="003808DC"/>
    <w:rsid w:val="003812EE"/>
    <w:rsid w:val="00381353"/>
    <w:rsid w:val="003817D3"/>
    <w:rsid w:val="00381AD3"/>
    <w:rsid w:val="00382023"/>
    <w:rsid w:val="00382317"/>
    <w:rsid w:val="00382748"/>
    <w:rsid w:val="0038366B"/>
    <w:rsid w:val="00383E27"/>
    <w:rsid w:val="00384533"/>
    <w:rsid w:val="00384A33"/>
    <w:rsid w:val="00384F53"/>
    <w:rsid w:val="003856C7"/>
    <w:rsid w:val="0038718B"/>
    <w:rsid w:val="00390037"/>
    <w:rsid w:val="003908CB"/>
    <w:rsid w:val="00390F51"/>
    <w:rsid w:val="00391805"/>
    <w:rsid w:val="00392780"/>
    <w:rsid w:val="003946D6"/>
    <w:rsid w:val="00394FA6"/>
    <w:rsid w:val="003965DB"/>
    <w:rsid w:val="003966A4"/>
    <w:rsid w:val="003978D3"/>
    <w:rsid w:val="00397EA7"/>
    <w:rsid w:val="003A131A"/>
    <w:rsid w:val="003A1873"/>
    <w:rsid w:val="003A2CA3"/>
    <w:rsid w:val="003A3153"/>
    <w:rsid w:val="003A31C9"/>
    <w:rsid w:val="003A389D"/>
    <w:rsid w:val="003A4099"/>
    <w:rsid w:val="003A41CB"/>
    <w:rsid w:val="003A4466"/>
    <w:rsid w:val="003A4572"/>
    <w:rsid w:val="003A48A3"/>
    <w:rsid w:val="003A4DEB"/>
    <w:rsid w:val="003A56B4"/>
    <w:rsid w:val="003A597D"/>
    <w:rsid w:val="003A63A3"/>
    <w:rsid w:val="003A7CE9"/>
    <w:rsid w:val="003A7D94"/>
    <w:rsid w:val="003B02A4"/>
    <w:rsid w:val="003B074C"/>
    <w:rsid w:val="003B0865"/>
    <w:rsid w:val="003B304F"/>
    <w:rsid w:val="003B30BB"/>
    <w:rsid w:val="003B36FD"/>
    <w:rsid w:val="003B4D18"/>
    <w:rsid w:val="003B52E3"/>
    <w:rsid w:val="003B5E5D"/>
    <w:rsid w:val="003B67B6"/>
    <w:rsid w:val="003B6EB4"/>
    <w:rsid w:val="003B7531"/>
    <w:rsid w:val="003C0A14"/>
    <w:rsid w:val="003C1256"/>
    <w:rsid w:val="003C1404"/>
    <w:rsid w:val="003C229B"/>
    <w:rsid w:val="003C24AD"/>
    <w:rsid w:val="003C2F63"/>
    <w:rsid w:val="003C4815"/>
    <w:rsid w:val="003C55CA"/>
    <w:rsid w:val="003C5D94"/>
    <w:rsid w:val="003C6855"/>
    <w:rsid w:val="003C70F6"/>
    <w:rsid w:val="003C73B0"/>
    <w:rsid w:val="003C7A73"/>
    <w:rsid w:val="003D061C"/>
    <w:rsid w:val="003D16A0"/>
    <w:rsid w:val="003D1765"/>
    <w:rsid w:val="003D188B"/>
    <w:rsid w:val="003D1D6F"/>
    <w:rsid w:val="003D20CE"/>
    <w:rsid w:val="003D2207"/>
    <w:rsid w:val="003D252A"/>
    <w:rsid w:val="003D36F5"/>
    <w:rsid w:val="003D3B4B"/>
    <w:rsid w:val="003D3B9A"/>
    <w:rsid w:val="003D42BA"/>
    <w:rsid w:val="003D4669"/>
    <w:rsid w:val="003D5E2A"/>
    <w:rsid w:val="003D6656"/>
    <w:rsid w:val="003D67DD"/>
    <w:rsid w:val="003D6B57"/>
    <w:rsid w:val="003E0880"/>
    <w:rsid w:val="003E0893"/>
    <w:rsid w:val="003E0C00"/>
    <w:rsid w:val="003E2013"/>
    <w:rsid w:val="003E3CBC"/>
    <w:rsid w:val="003E4724"/>
    <w:rsid w:val="003E4C21"/>
    <w:rsid w:val="003E5316"/>
    <w:rsid w:val="003E5AEC"/>
    <w:rsid w:val="003E5B81"/>
    <w:rsid w:val="003E5E8C"/>
    <w:rsid w:val="003E63DA"/>
    <w:rsid w:val="003E6E9A"/>
    <w:rsid w:val="003E6FD8"/>
    <w:rsid w:val="003E7A91"/>
    <w:rsid w:val="003F000C"/>
    <w:rsid w:val="003F0052"/>
    <w:rsid w:val="003F06DE"/>
    <w:rsid w:val="003F080A"/>
    <w:rsid w:val="003F1D10"/>
    <w:rsid w:val="003F1E69"/>
    <w:rsid w:val="003F2BA3"/>
    <w:rsid w:val="003F405E"/>
    <w:rsid w:val="003F4086"/>
    <w:rsid w:val="003F435F"/>
    <w:rsid w:val="003F4609"/>
    <w:rsid w:val="003F47E7"/>
    <w:rsid w:val="003F4887"/>
    <w:rsid w:val="003F4BB3"/>
    <w:rsid w:val="003F5820"/>
    <w:rsid w:val="003F6718"/>
    <w:rsid w:val="003F7A91"/>
    <w:rsid w:val="00400ACB"/>
    <w:rsid w:val="00400B93"/>
    <w:rsid w:val="004014AC"/>
    <w:rsid w:val="00401EA9"/>
    <w:rsid w:val="00402BA3"/>
    <w:rsid w:val="004032D1"/>
    <w:rsid w:val="004041BB"/>
    <w:rsid w:val="0040496E"/>
    <w:rsid w:val="00404CFF"/>
    <w:rsid w:val="0040556F"/>
    <w:rsid w:val="00405C57"/>
    <w:rsid w:val="0040628F"/>
    <w:rsid w:val="0040634B"/>
    <w:rsid w:val="00406717"/>
    <w:rsid w:val="004067FC"/>
    <w:rsid w:val="00406F15"/>
    <w:rsid w:val="00407DF5"/>
    <w:rsid w:val="00410F21"/>
    <w:rsid w:val="00410FD4"/>
    <w:rsid w:val="004112B7"/>
    <w:rsid w:val="004113F2"/>
    <w:rsid w:val="0041189C"/>
    <w:rsid w:val="00411C38"/>
    <w:rsid w:val="00412846"/>
    <w:rsid w:val="0041286B"/>
    <w:rsid w:val="00412E55"/>
    <w:rsid w:val="00412EDA"/>
    <w:rsid w:val="00413199"/>
    <w:rsid w:val="0041342D"/>
    <w:rsid w:val="00413ED6"/>
    <w:rsid w:val="0041470D"/>
    <w:rsid w:val="00414B61"/>
    <w:rsid w:val="00415306"/>
    <w:rsid w:val="004153E5"/>
    <w:rsid w:val="00416293"/>
    <w:rsid w:val="004165A5"/>
    <w:rsid w:val="004165E0"/>
    <w:rsid w:val="00417D39"/>
    <w:rsid w:val="0042020F"/>
    <w:rsid w:val="00420765"/>
    <w:rsid w:val="004209AD"/>
    <w:rsid w:val="00420E26"/>
    <w:rsid w:val="00421006"/>
    <w:rsid w:val="00423265"/>
    <w:rsid w:val="00423AB0"/>
    <w:rsid w:val="004241CA"/>
    <w:rsid w:val="00424412"/>
    <w:rsid w:val="00424664"/>
    <w:rsid w:val="00424DB7"/>
    <w:rsid w:val="0042508B"/>
    <w:rsid w:val="004255AF"/>
    <w:rsid w:val="00425EF9"/>
    <w:rsid w:val="00426195"/>
    <w:rsid w:val="00426293"/>
    <w:rsid w:val="00427AE6"/>
    <w:rsid w:val="0043056E"/>
    <w:rsid w:val="0043102C"/>
    <w:rsid w:val="00431770"/>
    <w:rsid w:val="00431D80"/>
    <w:rsid w:val="0043264C"/>
    <w:rsid w:val="00432ECD"/>
    <w:rsid w:val="00432EDE"/>
    <w:rsid w:val="00433361"/>
    <w:rsid w:val="00433970"/>
    <w:rsid w:val="004343D0"/>
    <w:rsid w:val="004346A4"/>
    <w:rsid w:val="00434A55"/>
    <w:rsid w:val="00434E74"/>
    <w:rsid w:val="004352D0"/>
    <w:rsid w:val="00435970"/>
    <w:rsid w:val="004366AC"/>
    <w:rsid w:val="00436879"/>
    <w:rsid w:val="00437343"/>
    <w:rsid w:val="00437C0C"/>
    <w:rsid w:val="00437DC8"/>
    <w:rsid w:val="0044073E"/>
    <w:rsid w:val="00440935"/>
    <w:rsid w:val="00440C8C"/>
    <w:rsid w:val="0044137D"/>
    <w:rsid w:val="00441DE0"/>
    <w:rsid w:val="004428F8"/>
    <w:rsid w:val="004438EC"/>
    <w:rsid w:val="004455B2"/>
    <w:rsid w:val="00445686"/>
    <w:rsid w:val="0044589A"/>
    <w:rsid w:val="00445F02"/>
    <w:rsid w:val="00446471"/>
    <w:rsid w:val="00446B24"/>
    <w:rsid w:val="004470BD"/>
    <w:rsid w:val="00447425"/>
    <w:rsid w:val="00447D46"/>
    <w:rsid w:val="00447F68"/>
    <w:rsid w:val="004508EB"/>
    <w:rsid w:val="00450D37"/>
    <w:rsid w:val="004515F1"/>
    <w:rsid w:val="00453947"/>
    <w:rsid w:val="004545E1"/>
    <w:rsid w:val="00455F73"/>
    <w:rsid w:val="00456A2C"/>
    <w:rsid w:val="004571B3"/>
    <w:rsid w:val="00457B50"/>
    <w:rsid w:val="004604E3"/>
    <w:rsid w:val="00460668"/>
    <w:rsid w:val="00460A67"/>
    <w:rsid w:val="004611C1"/>
    <w:rsid w:val="00461E1A"/>
    <w:rsid w:val="00462B72"/>
    <w:rsid w:val="0046306F"/>
    <w:rsid w:val="0046318E"/>
    <w:rsid w:val="004632C6"/>
    <w:rsid w:val="004640B8"/>
    <w:rsid w:val="00464D3A"/>
    <w:rsid w:val="00465AF5"/>
    <w:rsid w:val="004661B0"/>
    <w:rsid w:val="00466929"/>
    <w:rsid w:val="00466FEA"/>
    <w:rsid w:val="004702BD"/>
    <w:rsid w:val="00470775"/>
    <w:rsid w:val="004707A5"/>
    <w:rsid w:val="0047091D"/>
    <w:rsid w:val="004720BD"/>
    <w:rsid w:val="004721F2"/>
    <w:rsid w:val="00472D5C"/>
    <w:rsid w:val="00472DED"/>
    <w:rsid w:val="00473462"/>
    <w:rsid w:val="00473A7F"/>
    <w:rsid w:val="00474273"/>
    <w:rsid w:val="00474276"/>
    <w:rsid w:val="0047596E"/>
    <w:rsid w:val="00477335"/>
    <w:rsid w:val="00477865"/>
    <w:rsid w:val="00480F9B"/>
    <w:rsid w:val="0048210E"/>
    <w:rsid w:val="00482A44"/>
    <w:rsid w:val="004838AA"/>
    <w:rsid w:val="00483F80"/>
    <w:rsid w:val="00484599"/>
    <w:rsid w:val="00484AFF"/>
    <w:rsid w:val="004851C5"/>
    <w:rsid w:val="00485335"/>
    <w:rsid w:val="00485F0D"/>
    <w:rsid w:val="00487EFD"/>
    <w:rsid w:val="00490BB9"/>
    <w:rsid w:val="004911DC"/>
    <w:rsid w:val="00491899"/>
    <w:rsid w:val="004920BD"/>
    <w:rsid w:val="00493271"/>
    <w:rsid w:val="0049332A"/>
    <w:rsid w:val="0049418A"/>
    <w:rsid w:val="004944B6"/>
    <w:rsid w:val="00494A80"/>
    <w:rsid w:val="004952A2"/>
    <w:rsid w:val="004952AE"/>
    <w:rsid w:val="004972FF"/>
    <w:rsid w:val="004976E0"/>
    <w:rsid w:val="004A20BE"/>
    <w:rsid w:val="004A3B8B"/>
    <w:rsid w:val="004A3D79"/>
    <w:rsid w:val="004A4630"/>
    <w:rsid w:val="004A491E"/>
    <w:rsid w:val="004A4935"/>
    <w:rsid w:val="004A4CC2"/>
    <w:rsid w:val="004A5AEC"/>
    <w:rsid w:val="004A7952"/>
    <w:rsid w:val="004A7ACC"/>
    <w:rsid w:val="004A7AFF"/>
    <w:rsid w:val="004B0749"/>
    <w:rsid w:val="004B1465"/>
    <w:rsid w:val="004B268D"/>
    <w:rsid w:val="004B4C1B"/>
    <w:rsid w:val="004B5555"/>
    <w:rsid w:val="004B582C"/>
    <w:rsid w:val="004B6A9B"/>
    <w:rsid w:val="004C0A57"/>
    <w:rsid w:val="004C11CB"/>
    <w:rsid w:val="004C159B"/>
    <w:rsid w:val="004C1CEC"/>
    <w:rsid w:val="004C2A1A"/>
    <w:rsid w:val="004C4320"/>
    <w:rsid w:val="004C4671"/>
    <w:rsid w:val="004C47B1"/>
    <w:rsid w:val="004C5584"/>
    <w:rsid w:val="004C5B11"/>
    <w:rsid w:val="004C6B9E"/>
    <w:rsid w:val="004C6C6E"/>
    <w:rsid w:val="004C780E"/>
    <w:rsid w:val="004C7E35"/>
    <w:rsid w:val="004D04CD"/>
    <w:rsid w:val="004D090D"/>
    <w:rsid w:val="004D14D8"/>
    <w:rsid w:val="004D2C1C"/>
    <w:rsid w:val="004D32A3"/>
    <w:rsid w:val="004D3D91"/>
    <w:rsid w:val="004D4549"/>
    <w:rsid w:val="004D5636"/>
    <w:rsid w:val="004D5ACE"/>
    <w:rsid w:val="004D5BB9"/>
    <w:rsid w:val="004D66A6"/>
    <w:rsid w:val="004D7834"/>
    <w:rsid w:val="004D7BF8"/>
    <w:rsid w:val="004E01E1"/>
    <w:rsid w:val="004E0B7A"/>
    <w:rsid w:val="004E0B8E"/>
    <w:rsid w:val="004E1894"/>
    <w:rsid w:val="004E18EE"/>
    <w:rsid w:val="004E2CF6"/>
    <w:rsid w:val="004E311F"/>
    <w:rsid w:val="004E3BBF"/>
    <w:rsid w:val="004E417C"/>
    <w:rsid w:val="004E4223"/>
    <w:rsid w:val="004E495B"/>
    <w:rsid w:val="004E4CC2"/>
    <w:rsid w:val="004E518C"/>
    <w:rsid w:val="004E6F94"/>
    <w:rsid w:val="004E7578"/>
    <w:rsid w:val="004F0107"/>
    <w:rsid w:val="004F0560"/>
    <w:rsid w:val="004F1699"/>
    <w:rsid w:val="004F17FB"/>
    <w:rsid w:val="004F195A"/>
    <w:rsid w:val="004F1E1D"/>
    <w:rsid w:val="004F3090"/>
    <w:rsid w:val="004F35F7"/>
    <w:rsid w:val="004F4346"/>
    <w:rsid w:val="004F4628"/>
    <w:rsid w:val="004F489A"/>
    <w:rsid w:val="004F4A39"/>
    <w:rsid w:val="004F4D75"/>
    <w:rsid w:val="004F58BD"/>
    <w:rsid w:val="004F5F21"/>
    <w:rsid w:val="004F612A"/>
    <w:rsid w:val="004F66D0"/>
    <w:rsid w:val="004F6747"/>
    <w:rsid w:val="004F6E30"/>
    <w:rsid w:val="00500332"/>
    <w:rsid w:val="00500F88"/>
    <w:rsid w:val="00501B6B"/>
    <w:rsid w:val="00504154"/>
    <w:rsid w:val="00504223"/>
    <w:rsid w:val="00504419"/>
    <w:rsid w:val="0050477B"/>
    <w:rsid w:val="005052E6"/>
    <w:rsid w:val="005057CC"/>
    <w:rsid w:val="00505858"/>
    <w:rsid w:val="00505A9A"/>
    <w:rsid w:val="00505E4D"/>
    <w:rsid w:val="00505F80"/>
    <w:rsid w:val="00506735"/>
    <w:rsid w:val="005069A5"/>
    <w:rsid w:val="005075CD"/>
    <w:rsid w:val="00507E86"/>
    <w:rsid w:val="0051089D"/>
    <w:rsid w:val="005115F3"/>
    <w:rsid w:val="00511899"/>
    <w:rsid w:val="00512BB7"/>
    <w:rsid w:val="00512BF2"/>
    <w:rsid w:val="00513834"/>
    <w:rsid w:val="00514908"/>
    <w:rsid w:val="00514A6D"/>
    <w:rsid w:val="00515EB7"/>
    <w:rsid w:val="00517489"/>
    <w:rsid w:val="00520518"/>
    <w:rsid w:val="005208EB"/>
    <w:rsid w:val="005209D7"/>
    <w:rsid w:val="00520CD4"/>
    <w:rsid w:val="005216BC"/>
    <w:rsid w:val="00521FBE"/>
    <w:rsid w:val="0052205A"/>
    <w:rsid w:val="00522FE5"/>
    <w:rsid w:val="00523329"/>
    <w:rsid w:val="00523D1E"/>
    <w:rsid w:val="0052537E"/>
    <w:rsid w:val="00525F48"/>
    <w:rsid w:val="0052611C"/>
    <w:rsid w:val="005261F1"/>
    <w:rsid w:val="00526332"/>
    <w:rsid w:val="00526620"/>
    <w:rsid w:val="00526784"/>
    <w:rsid w:val="00526E2C"/>
    <w:rsid w:val="00526F14"/>
    <w:rsid w:val="00527268"/>
    <w:rsid w:val="00527919"/>
    <w:rsid w:val="00527B44"/>
    <w:rsid w:val="00527CD2"/>
    <w:rsid w:val="00531527"/>
    <w:rsid w:val="005316B6"/>
    <w:rsid w:val="005321A3"/>
    <w:rsid w:val="00533FFC"/>
    <w:rsid w:val="005346B7"/>
    <w:rsid w:val="0053539D"/>
    <w:rsid w:val="005361E0"/>
    <w:rsid w:val="005378EF"/>
    <w:rsid w:val="00540570"/>
    <w:rsid w:val="00541D5B"/>
    <w:rsid w:val="0054285E"/>
    <w:rsid w:val="00543138"/>
    <w:rsid w:val="005437CF"/>
    <w:rsid w:val="0054382E"/>
    <w:rsid w:val="005439FC"/>
    <w:rsid w:val="0054482C"/>
    <w:rsid w:val="005458B0"/>
    <w:rsid w:val="00546884"/>
    <w:rsid w:val="005476EB"/>
    <w:rsid w:val="0054785A"/>
    <w:rsid w:val="00547B5A"/>
    <w:rsid w:val="00550282"/>
    <w:rsid w:val="0055130D"/>
    <w:rsid w:val="00551CE2"/>
    <w:rsid w:val="005536BC"/>
    <w:rsid w:val="005550DD"/>
    <w:rsid w:val="00555359"/>
    <w:rsid w:val="005575BA"/>
    <w:rsid w:val="00557DC5"/>
    <w:rsid w:val="00560F77"/>
    <w:rsid w:val="00561EA3"/>
    <w:rsid w:val="005624A0"/>
    <w:rsid w:val="00562CBE"/>
    <w:rsid w:val="005634AE"/>
    <w:rsid w:val="005635C8"/>
    <w:rsid w:val="00564354"/>
    <w:rsid w:val="00564B12"/>
    <w:rsid w:val="0056550D"/>
    <w:rsid w:val="005659AC"/>
    <w:rsid w:val="00566122"/>
    <w:rsid w:val="005665E1"/>
    <w:rsid w:val="00567592"/>
    <w:rsid w:val="00567730"/>
    <w:rsid w:val="00567B55"/>
    <w:rsid w:val="005701BB"/>
    <w:rsid w:val="005708AC"/>
    <w:rsid w:val="005709B5"/>
    <w:rsid w:val="00570BB9"/>
    <w:rsid w:val="005712A8"/>
    <w:rsid w:val="00572418"/>
    <w:rsid w:val="00572A77"/>
    <w:rsid w:val="00573462"/>
    <w:rsid w:val="00573BE5"/>
    <w:rsid w:val="00574301"/>
    <w:rsid w:val="00574656"/>
    <w:rsid w:val="00574806"/>
    <w:rsid w:val="005752A3"/>
    <w:rsid w:val="00575C97"/>
    <w:rsid w:val="00575CB7"/>
    <w:rsid w:val="00575D15"/>
    <w:rsid w:val="00576EEB"/>
    <w:rsid w:val="00577B39"/>
    <w:rsid w:val="00577C52"/>
    <w:rsid w:val="00577D51"/>
    <w:rsid w:val="00580F55"/>
    <w:rsid w:val="005821A0"/>
    <w:rsid w:val="00583F70"/>
    <w:rsid w:val="00584D05"/>
    <w:rsid w:val="0058523D"/>
    <w:rsid w:val="00585D2F"/>
    <w:rsid w:val="00586934"/>
    <w:rsid w:val="00586E05"/>
    <w:rsid w:val="00587C00"/>
    <w:rsid w:val="00587E4F"/>
    <w:rsid w:val="00587E60"/>
    <w:rsid w:val="0059033F"/>
    <w:rsid w:val="00590527"/>
    <w:rsid w:val="00591BBD"/>
    <w:rsid w:val="0059324C"/>
    <w:rsid w:val="0059449D"/>
    <w:rsid w:val="00594FBB"/>
    <w:rsid w:val="00596EE8"/>
    <w:rsid w:val="00597E4B"/>
    <w:rsid w:val="005A1260"/>
    <w:rsid w:val="005A2328"/>
    <w:rsid w:val="005A241E"/>
    <w:rsid w:val="005A2FA1"/>
    <w:rsid w:val="005A3014"/>
    <w:rsid w:val="005A35B6"/>
    <w:rsid w:val="005A4232"/>
    <w:rsid w:val="005A50A0"/>
    <w:rsid w:val="005A5CED"/>
    <w:rsid w:val="005A6740"/>
    <w:rsid w:val="005A6767"/>
    <w:rsid w:val="005A696E"/>
    <w:rsid w:val="005A77C9"/>
    <w:rsid w:val="005A7A37"/>
    <w:rsid w:val="005B016E"/>
    <w:rsid w:val="005B03C3"/>
    <w:rsid w:val="005B04B0"/>
    <w:rsid w:val="005B0807"/>
    <w:rsid w:val="005B0C96"/>
    <w:rsid w:val="005B1244"/>
    <w:rsid w:val="005B214B"/>
    <w:rsid w:val="005B28C3"/>
    <w:rsid w:val="005B2AD5"/>
    <w:rsid w:val="005B2CA3"/>
    <w:rsid w:val="005B3314"/>
    <w:rsid w:val="005B3467"/>
    <w:rsid w:val="005B4D44"/>
    <w:rsid w:val="005B5AF6"/>
    <w:rsid w:val="005B61FE"/>
    <w:rsid w:val="005B6537"/>
    <w:rsid w:val="005B6687"/>
    <w:rsid w:val="005B7304"/>
    <w:rsid w:val="005C09B3"/>
    <w:rsid w:val="005C0D7E"/>
    <w:rsid w:val="005C0DE7"/>
    <w:rsid w:val="005C0F07"/>
    <w:rsid w:val="005C177B"/>
    <w:rsid w:val="005C1CA1"/>
    <w:rsid w:val="005C218A"/>
    <w:rsid w:val="005C2348"/>
    <w:rsid w:val="005C26C6"/>
    <w:rsid w:val="005C2DE6"/>
    <w:rsid w:val="005C3042"/>
    <w:rsid w:val="005C3E05"/>
    <w:rsid w:val="005C3E4F"/>
    <w:rsid w:val="005C4A2B"/>
    <w:rsid w:val="005C4EBF"/>
    <w:rsid w:val="005C5098"/>
    <w:rsid w:val="005C58EB"/>
    <w:rsid w:val="005C5977"/>
    <w:rsid w:val="005C5B3F"/>
    <w:rsid w:val="005C6D21"/>
    <w:rsid w:val="005C7ED7"/>
    <w:rsid w:val="005D0120"/>
    <w:rsid w:val="005D01A4"/>
    <w:rsid w:val="005D0251"/>
    <w:rsid w:val="005D088D"/>
    <w:rsid w:val="005D0D39"/>
    <w:rsid w:val="005D1A7D"/>
    <w:rsid w:val="005D1D9B"/>
    <w:rsid w:val="005D1F21"/>
    <w:rsid w:val="005D392F"/>
    <w:rsid w:val="005D3F2D"/>
    <w:rsid w:val="005D57AA"/>
    <w:rsid w:val="005D5D39"/>
    <w:rsid w:val="005D67D7"/>
    <w:rsid w:val="005D6B4D"/>
    <w:rsid w:val="005D78A2"/>
    <w:rsid w:val="005E1C52"/>
    <w:rsid w:val="005E2E68"/>
    <w:rsid w:val="005E33D2"/>
    <w:rsid w:val="005E41E1"/>
    <w:rsid w:val="005E4442"/>
    <w:rsid w:val="005E4900"/>
    <w:rsid w:val="005E4BD2"/>
    <w:rsid w:val="005E501E"/>
    <w:rsid w:val="005E50F3"/>
    <w:rsid w:val="005E533A"/>
    <w:rsid w:val="005E5490"/>
    <w:rsid w:val="005E5F00"/>
    <w:rsid w:val="005E6067"/>
    <w:rsid w:val="005E7B3D"/>
    <w:rsid w:val="005F0DBF"/>
    <w:rsid w:val="005F190C"/>
    <w:rsid w:val="005F2D4C"/>
    <w:rsid w:val="005F3033"/>
    <w:rsid w:val="005F31D5"/>
    <w:rsid w:val="005F37D4"/>
    <w:rsid w:val="005F42D2"/>
    <w:rsid w:val="005F4DD9"/>
    <w:rsid w:val="005F512B"/>
    <w:rsid w:val="005F51F9"/>
    <w:rsid w:val="005F554A"/>
    <w:rsid w:val="005F67E2"/>
    <w:rsid w:val="005F6D71"/>
    <w:rsid w:val="00600630"/>
    <w:rsid w:val="006008EC"/>
    <w:rsid w:val="006009F5"/>
    <w:rsid w:val="0060107E"/>
    <w:rsid w:val="0060111F"/>
    <w:rsid w:val="006020D9"/>
    <w:rsid w:val="0060267A"/>
    <w:rsid w:val="00602F71"/>
    <w:rsid w:val="006030D6"/>
    <w:rsid w:val="006043A4"/>
    <w:rsid w:val="006045CD"/>
    <w:rsid w:val="006048D0"/>
    <w:rsid w:val="00604B50"/>
    <w:rsid w:val="00605007"/>
    <w:rsid w:val="0060594A"/>
    <w:rsid w:val="006060BB"/>
    <w:rsid w:val="006105B3"/>
    <w:rsid w:val="00610619"/>
    <w:rsid w:val="00610E14"/>
    <w:rsid w:val="006119B8"/>
    <w:rsid w:val="00611A6C"/>
    <w:rsid w:val="00611AF5"/>
    <w:rsid w:val="00612E64"/>
    <w:rsid w:val="006143D2"/>
    <w:rsid w:val="0061494B"/>
    <w:rsid w:val="00614CD3"/>
    <w:rsid w:val="00615D8A"/>
    <w:rsid w:val="0061627F"/>
    <w:rsid w:val="00616BF1"/>
    <w:rsid w:val="00616E5C"/>
    <w:rsid w:val="00617F54"/>
    <w:rsid w:val="0062043A"/>
    <w:rsid w:val="006205DE"/>
    <w:rsid w:val="00620808"/>
    <w:rsid w:val="006217E3"/>
    <w:rsid w:val="00621A67"/>
    <w:rsid w:val="00621EDB"/>
    <w:rsid w:val="00622F37"/>
    <w:rsid w:val="006232A3"/>
    <w:rsid w:val="006240A6"/>
    <w:rsid w:val="006242DF"/>
    <w:rsid w:val="0062497C"/>
    <w:rsid w:val="00624EB7"/>
    <w:rsid w:val="0062600E"/>
    <w:rsid w:val="00626EC9"/>
    <w:rsid w:val="00627EBD"/>
    <w:rsid w:val="00632A0E"/>
    <w:rsid w:val="00632BC3"/>
    <w:rsid w:val="006342A8"/>
    <w:rsid w:val="006345BE"/>
    <w:rsid w:val="00634C20"/>
    <w:rsid w:val="00636643"/>
    <w:rsid w:val="006374CD"/>
    <w:rsid w:val="00637C61"/>
    <w:rsid w:val="00637F16"/>
    <w:rsid w:val="00640570"/>
    <w:rsid w:val="00640CB0"/>
    <w:rsid w:val="00641143"/>
    <w:rsid w:val="0064267E"/>
    <w:rsid w:val="006430FF"/>
    <w:rsid w:val="0064347A"/>
    <w:rsid w:val="00643967"/>
    <w:rsid w:val="00643C32"/>
    <w:rsid w:val="00645FB5"/>
    <w:rsid w:val="006466C7"/>
    <w:rsid w:val="0064721C"/>
    <w:rsid w:val="00647882"/>
    <w:rsid w:val="00647DA8"/>
    <w:rsid w:val="00647F9D"/>
    <w:rsid w:val="006502AB"/>
    <w:rsid w:val="00650757"/>
    <w:rsid w:val="00650DE3"/>
    <w:rsid w:val="00650F32"/>
    <w:rsid w:val="00651177"/>
    <w:rsid w:val="0065208A"/>
    <w:rsid w:val="0065343A"/>
    <w:rsid w:val="00653A2A"/>
    <w:rsid w:val="00653B74"/>
    <w:rsid w:val="00655C85"/>
    <w:rsid w:val="00656803"/>
    <w:rsid w:val="006569FD"/>
    <w:rsid w:val="006605A1"/>
    <w:rsid w:val="0066096D"/>
    <w:rsid w:val="0066100B"/>
    <w:rsid w:val="00661697"/>
    <w:rsid w:val="006616F5"/>
    <w:rsid w:val="0066219C"/>
    <w:rsid w:val="0066293A"/>
    <w:rsid w:val="00663D25"/>
    <w:rsid w:val="00663EF7"/>
    <w:rsid w:val="0066654B"/>
    <w:rsid w:val="006666EA"/>
    <w:rsid w:val="00666B1D"/>
    <w:rsid w:val="006672FF"/>
    <w:rsid w:val="00667A54"/>
    <w:rsid w:val="00671816"/>
    <w:rsid w:val="006724CA"/>
    <w:rsid w:val="006726C8"/>
    <w:rsid w:val="006727E9"/>
    <w:rsid w:val="00672CC4"/>
    <w:rsid w:val="00674551"/>
    <w:rsid w:val="006746CD"/>
    <w:rsid w:val="00674DB1"/>
    <w:rsid w:val="006751FB"/>
    <w:rsid w:val="00675B52"/>
    <w:rsid w:val="006763D1"/>
    <w:rsid w:val="00677156"/>
    <w:rsid w:val="006779A1"/>
    <w:rsid w:val="00677B12"/>
    <w:rsid w:val="006807B3"/>
    <w:rsid w:val="006813A4"/>
    <w:rsid w:val="00681A1D"/>
    <w:rsid w:val="00681F5E"/>
    <w:rsid w:val="00681F77"/>
    <w:rsid w:val="0068219C"/>
    <w:rsid w:val="006823B3"/>
    <w:rsid w:val="00682BA0"/>
    <w:rsid w:val="00682E7A"/>
    <w:rsid w:val="00683517"/>
    <w:rsid w:val="0068368F"/>
    <w:rsid w:val="0068390A"/>
    <w:rsid w:val="00684D30"/>
    <w:rsid w:val="00685133"/>
    <w:rsid w:val="0068528A"/>
    <w:rsid w:val="006855D3"/>
    <w:rsid w:val="00685D06"/>
    <w:rsid w:val="00685ED6"/>
    <w:rsid w:val="00686202"/>
    <w:rsid w:val="00690243"/>
    <w:rsid w:val="006903B8"/>
    <w:rsid w:val="00690951"/>
    <w:rsid w:val="00691273"/>
    <w:rsid w:val="0069139A"/>
    <w:rsid w:val="006917A7"/>
    <w:rsid w:val="00691862"/>
    <w:rsid w:val="0069205C"/>
    <w:rsid w:val="0069219F"/>
    <w:rsid w:val="006925DB"/>
    <w:rsid w:val="006928E7"/>
    <w:rsid w:val="006941ED"/>
    <w:rsid w:val="006944EB"/>
    <w:rsid w:val="00694C2D"/>
    <w:rsid w:val="00694EE3"/>
    <w:rsid w:val="006954C4"/>
    <w:rsid w:val="006954F0"/>
    <w:rsid w:val="00696927"/>
    <w:rsid w:val="00696AF8"/>
    <w:rsid w:val="00696C30"/>
    <w:rsid w:val="006A007A"/>
    <w:rsid w:val="006A00B7"/>
    <w:rsid w:val="006A0563"/>
    <w:rsid w:val="006A0F81"/>
    <w:rsid w:val="006A134B"/>
    <w:rsid w:val="006A1B12"/>
    <w:rsid w:val="006A229F"/>
    <w:rsid w:val="006A2927"/>
    <w:rsid w:val="006A2CFB"/>
    <w:rsid w:val="006A3054"/>
    <w:rsid w:val="006A34AC"/>
    <w:rsid w:val="006A3E57"/>
    <w:rsid w:val="006A46A7"/>
    <w:rsid w:val="006A4751"/>
    <w:rsid w:val="006A4D18"/>
    <w:rsid w:val="006A4F09"/>
    <w:rsid w:val="006A50E4"/>
    <w:rsid w:val="006A64C0"/>
    <w:rsid w:val="006A7371"/>
    <w:rsid w:val="006B079E"/>
    <w:rsid w:val="006B0D28"/>
    <w:rsid w:val="006B0F49"/>
    <w:rsid w:val="006B146D"/>
    <w:rsid w:val="006B1F01"/>
    <w:rsid w:val="006B23B0"/>
    <w:rsid w:val="006B34C9"/>
    <w:rsid w:val="006B366A"/>
    <w:rsid w:val="006B399A"/>
    <w:rsid w:val="006B4795"/>
    <w:rsid w:val="006B507D"/>
    <w:rsid w:val="006B5791"/>
    <w:rsid w:val="006B60A2"/>
    <w:rsid w:val="006B6798"/>
    <w:rsid w:val="006B7437"/>
    <w:rsid w:val="006B77BE"/>
    <w:rsid w:val="006B7B54"/>
    <w:rsid w:val="006C06AF"/>
    <w:rsid w:val="006C0F76"/>
    <w:rsid w:val="006C1209"/>
    <w:rsid w:val="006C1340"/>
    <w:rsid w:val="006C23C2"/>
    <w:rsid w:val="006C339D"/>
    <w:rsid w:val="006C33AC"/>
    <w:rsid w:val="006C4B1F"/>
    <w:rsid w:val="006C5815"/>
    <w:rsid w:val="006C5C39"/>
    <w:rsid w:val="006C6FBB"/>
    <w:rsid w:val="006C723E"/>
    <w:rsid w:val="006C769E"/>
    <w:rsid w:val="006C7B71"/>
    <w:rsid w:val="006D01E3"/>
    <w:rsid w:val="006D1457"/>
    <w:rsid w:val="006D1C8F"/>
    <w:rsid w:val="006D22F3"/>
    <w:rsid w:val="006D2DBD"/>
    <w:rsid w:val="006D3A6D"/>
    <w:rsid w:val="006D4628"/>
    <w:rsid w:val="006D46C6"/>
    <w:rsid w:val="006D4B09"/>
    <w:rsid w:val="006D4F91"/>
    <w:rsid w:val="006D53C1"/>
    <w:rsid w:val="006D5556"/>
    <w:rsid w:val="006D651D"/>
    <w:rsid w:val="006D6DB3"/>
    <w:rsid w:val="006D7A10"/>
    <w:rsid w:val="006D7E02"/>
    <w:rsid w:val="006E0419"/>
    <w:rsid w:val="006E07BA"/>
    <w:rsid w:val="006E0CF5"/>
    <w:rsid w:val="006E15B5"/>
    <w:rsid w:val="006E18EB"/>
    <w:rsid w:val="006E1A69"/>
    <w:rsid w:val="006E1B78"/>
    <w:rsid w:val="006E1C31"/>
    <w:rsid w:val="006E2018"/>
    <w:rsid w:val="006E20B6"/>
    <w:rsid w:val="006E2293"/>
    <w:rsid w:val="006E31A3"/>
    <w:rsid w:val="006E42E3"/>
    <w:rsid w:val="006E451F"/>
    <w:rsid w:val="006E45CC"/>
    <w:rsid w:val="006E5193"/>
    <w:rsid w:val="006E52E1"/>
    <w:rsid w:val="006E5BF7"/>
    <w:rsid w:val="006E5C6C"/>
    <w:rsid w:val="006E5D11"/>
    <w:rsid w:val="006E63DE"/>
    <w:rsid w:val="006E6A42"/>
    <w:rsid w:val="006E70D1"/>
    <w:rsid w:val="006F04D9"/>
    <w:rsid w:val="006F07FA"/>
    <w:rsid w:val="006F0FBF"/>
    <w:rsid w:val="006F136A"/>
    <w:rsid w:val="006F137B"/>
    <w:rsid w:val="006F18F4"/>
    <w:rsid w:val="006F1B2E"/>
    <w:rsid w:val="006F1DC1"/>
    <w:rsid w:val="006F2292"/>
    <w:rsid w:val="006F31D7"/>
    <w:rsid w:val="006F32C7"/>
    <w:rsid w:val="006F3670"/>
    <w:rsid w:val="006F3932"/>
    <w:rsid w:val="006F3B2C"/>
    <w:rsid w:val="006F48D3"/>
    <w:rsid w:val="006F4901"/>
    <w:rsid w:val="006F617A"/>
    <w:rsid w:val="006F6424"/>
    <w:rsid w:val="006F6D52"/>
    <w:rsid w:val="006F783C"/>
    <w:rsid w:val="007001BB"/>
    <w:rsid w:val="00700E2D"/>
    <w:rsid w:val="0070184C"/>
    <w:rsid w:val="007028E7"/>
    <w:rsid w:val="00703986"/>
    <w:rsid w:val="007039B7"/>
    <w:rsid w:val="00703CAD"/>
    <w:rsid w:val="0070401B"/>
    <w:rsid w:val="00704082"/>
    <w:rsid w:val="00704B13"/>
    <w:rsid w:val="00705371"/>
    <w:rsid w:val="007056A9"/>
    <w:rsid w:val="00705E8D"/>
    <w:rsid w:val="00707014"/>
    <w:rsid w:val="007077DC"/>
    <w:rsid w:val="00707DAE"/>
    <w:rsid w:val="007100B0"/>
    <w:rsid w:val="007100BD"/>
    <w:rsid w:val="0071032B"/>
    <w:rsid w:val="00710C2B"/>
    <w:rsid w:val="00713384"/>
    <w:rsid w:val="00713D73"/>
    <w:rsid w:val="007141E1"/>
    <w:rsid w:val="007145AA"/>
    <w:rsid w:val="00714F31"/>
    <w:rsid w:val="0071558A"/>
    <w:rsid w:val="0071593B"/>
    <w:rsid w:val="00715ADA"/>
    <w:rsid w:val="00716B8E"/>
    <w:rsid w:val="0071766B"/>
    <w:rsid w:val="007208EA"/>
    <w:rsid w:val="00721056"/>
    <w:rsid w:val="007215B7"/>
    <w:rsid w:val="007219F6"/>
    <w:rsid w:val="00722046"/>
    <w:rsid w:val="00722080"/>
    <w:rsid w:val="00722CFC"/>
    <w:rsid w:val="00723D1F"/>
    <w:rsid w:val="0072440A"/>
    <w:rsid w:val="00724504"/>
    <w:rsid w:val="007247EB"/>
    <w:rsid w:val="007257D4"/>
    <w:rsid w:val="0072605A"/>
    <w:rsid w:val="00726485"/>
    <w:rsid w:val="00726F2B"/>
    <w:rsid w:val="00732F1A"/>
    <w:rsid w:val="00733151"/>
    <w:rsid w:val="00733AC8"/>
    <w:rsid w:val="00734A87"/>
    <w:rsid w:val="00734CF6"/>
    <w:rsid w:val="00735189"/>
    <w:rsid w:val="00736049"/>
    <w:rsid w:val="007360FB"/>
    <w:rsid w:val="007369A0"/>
    <w:rsid w:val="00736AFC"/>
    <w:rsid w:val="00736C69"/>
    <w:rsid w:val="007372E6"/>
    <w:rsid w:val="00740E6A"/>
    <w:rsid w:val="007413D9"/>
    <w:rsid w:val="0074150C"/>
    <w:rsid w:val="007419AB"/>
    <w:rsid w:val="00742024"/>
    <w:rsid w:val="007434B4"/>
    <w:rsid w:val="00744360"/>
    <w:rsid w:val="00744E6E"/>
    <w:rsid w:val="007455AC"/>
    <w:rsid w:val="00745685"/>
    <w:rsid w:val="0074593E"/>
    <w:rsid w:val="007460BC"/>
    <w:rsid w:val="00746586"/>
    <w:rsid w:val="00747190"/>
    <w:rsid w:val="00747779"/>
    <w:rsid w:val="00747DDA"/>
    <w:rsid w:val="00747F03"/>
    <w:rsid w:val="00750446"/>
    <w:rsid w:val="0075088F"/>
    <w:rsid w:val="00751132"/>
    <w:rsid w:val="00751F7C"/>
    <w:rsid w:val="00752720"/>
    <w:rsid w:val="00752E2E"/>
    <w:rsid w:val="00753FAF"/>
    <w:rsid w:val="00754835"/>
    <w:rsid w:val="0075502C"/>
    <w:rsid w:val="007556C8"/>
    <w:rsid w:val="00755EF3"/>
    <w:rsid w:val="00755F77"/>
    <w:rsid w:val="00756587"/>
    <w:rsid w:val="00756604"/>
    <w:rsid w:val="0075674F"/>
    <w:rsid w:val="007567BC"/>
    <w:rsid w:val="007568EE"/>
    <w:rsid w:val="007601F3"/>
    <w:rsid w:val="007606C3"/>
    <w:rsid w:val="00760E64"/>
    <w:rsid w:val="007611A9"/>
    <w:rsid w:val="007614FE"/>
    <w:rsid w:val="0076156E"/>
    <w:rsid w:val="007618B1"/>
    <w:rsid w:val="00761C5D"/>
    <w:rsid w:val="00761F02"/>
    <w:rsid w:val="0076313F"/>
    <w:rsid w:val="00763178"/>
    <w:rsid w:val="0076488F"/>
    <w:rsid w:val="00764A9A"/>
    <w:rsid w:val="00765AED"/>
    <w:rsid w:val="0076675E"/>
    <w:rsid w:val="00766831"/>
    <w:rsid w:val="0076684A"/>
    <w:rsid w:val="00767220"/>
    <w:rsid w:val="007712CC"/>
    <w:rsid w:val="00771449"/>
    <w:rsid w:val="00771DE6"/>
    <w:rsid w:val="007723AB"/>
    <w:rsid w:val="0077273F"/>
    <w:rsid w:val="0077276B"/>
    <w:rsid w:val="00773028"/>
    <w:rsid w:val="00773D28"/>
    <w:rsid w:val="00773EA7"/>
    <w:rsid w:val="007741AD"/>
    <w:rsid w:val="00774632"/>
    <w:rsid w:val="00774BF7"/>
    <w:rsid w:val="00775065"/>
    <w:rsid w:val="00775D80"/>
    <w:rsid w:val="00777B6C"/>
    <w:rsid w:val="00777E20"/>
    <w:rsid w:val="00780163"/>
    <w:rsid w:val="007802C1"/>
    <w:rsid w:val="00780CB0"/>
    <w:rsid w:val="00780DDA"/>
    <w:rsid w:val="007832B7"/>
    <w:rsid w:val="00783BC4"/>
    <w:rsid w:val="00784213"/>
    <w:rsid w:val="007847B2"/>
    <w:rsid w:val="00784E25"/>
    <w:rsid w:val="00785952"/>
    <w:rsid w:val="00786755"/>
    <w:rsid w:val="00787111"/>
    <w:rsid w:val="00787136"/>
    <w:rsid w:val="0078751B"/>
    <w:rsid w:val="00787713"/>
    <w:rsid w:val="00787B90"/>
    <w:rsid w:val="00790E4F"/>
    <w:rsid w:val="007928E2"/>
    <w:rsid w:val="007936B7"/>
    <w:rsid w:val="007938A2"/>
    <w:rsid w:val="00793C99"/>
    <w:rsid w:val="007946C7"/>
    <w:rsid w:val="007948EB"/>
    <w:rsid w:val="007948FA"/>
    <w:rsid w:val="00794F1A"/>
    <w:rsid w:val="0079531F"/>
    <w:rsid w:val="00795D1A"/>
    <w:rsid w:val="00796100"/>
    <w:rsid w:val="007972B8"/>
    <w:rsid w:val="00797518"/>
    <w:rsid w:val="007975C6"/>
    <w:rsid w:val="007A2789"/>
    <w:rsid w:val="007A33DB"/>
    <w:rsid w:val="007A3ABD"/>
    <w:rsid w:val="007A437C"/>
    <w:rsid w:val="007A4B56"/>
    <w:rsid w:val="007A54CF"/>
    <w:rsid w:val="007A5DA5"/>
    <w:rsid w:val="007A5DDD"/>
    <w:rsid w:val="007A69F1"/>
    <w:rsid w:val="007A6B90"/>
    <w:rsid w:val="007A7B9C"/>
    <w:rsid w:val="007A7D34"/>
    <w:rsid w:val="007B00EC"/>
    <w:rsid w:val="007B0338"/>
    <w:rsid w:val="007B0520"/>
    <w:rsid w:val="007B2232"/>
    <w:rsid w:val="007B3FE0"/>
    <w:rsid w:val="007B4A00"/>
    <w:rsid w:val="007B643E"/>
    <w:rsid w:val="007B644C"/>
    <w:rsid w:val="007B65F8"/>
    <w:rsid w:val="007B694C"/>
    <w:rsid w:val="007C0C56"/>
    <w:rsid w:val="007C2C9D"/>
    <w:rsid w:val="007C302F"/>
    <w:rsid w:val="007C3340"/>
    <w:rsid w:val="007C3562"/>
    <w:rsid w:val="007C36D5"/>
    <w:rsid w:val="007C3B50"/>
    <w:rsid w:val="007C5299"/>
    <w:rsid w:val="007C553C"/>
    <w:rsid w:val="007C5C1F"/>
    <w:rsid w:val="007C5F6A"/>
    <w:rsid w:val="007C6ED7"/>
    <w:rsid w:val="007C76F3"/>
    <w:rsid w:val="007C7ADB"/>
    <w:rsid w:val="007C7B99"/>
    <w:rsid w:val="007D0885"/>
    <w:rsid w:val="007D118C"/>
    <w:rsid w:val="007D1565"/>
    <w:rsid w:val="007D21D7"/>
    <w:rsid w:val="007D23C8"/>
    <w:rsid w:val="007D348B"/>
    <w:rsid w:val="007D3630"/>
    <w:rsid w:val="007D3A21"/>
    <w:rsid w:val="007D3A8A"/>
    <w:rsid w:val="007D405F"/>
    <w:rsid w:val="007D460B"/>
    <w:rsid w:val="007D4EAE"/>
    <w:rsid w:val="007D50E3"/>
    <w:rsid w:val="007D57AF"/>
    <w:rsid w:val="007D5C23"/>
    <w:rsid w:val="007D6E84"/>
    <w:rsid w:val="007D71A8"/>
    <w:rsid w:val="007D7812"/>
    <w:rsid w:val="007E0993"/>
    <w:rsid w:val="007E0E67"/>
    <w:rsid w:val="007E1305"/>
    <w:rsid w:val="007E16F5"/>
    <w:rsid w:val="007E1DC0"/>
    <w:rsid w:val="007E256E"/>
    <w:rsid w:val="007E28A7"/>
    <w:rsid w:val="007E2C2B"/>
    <w:rsid w:val="007E2F36"/>
    <w:rsid w:val="007E3355"/>
    <w:rsid w:val="007E45B9"/>
    <w:rsid w:val="007E4784"/>
    <w:rsid w:val="007E484A"/>
    <w:rsid w:val="007E4969"/>
    <w:rsid w:val="007E4E2F"/>
    <w:rsid w:val="007E5152"/>
    <w:rsid w:val="007E546D"/>
    <w:rsid w:val="007E553F"/>
    <w:rsid w:val="007E57F7"/>
    <w:rsid w:val="007E5BC4"/>
    <w:rsid w:val="007E6215"/>
    <w:rsid w:val="007E6291"/>
    <w:rsid w:val="007F0111"/>
    <w:rsid w:val="007F0BCB"/>
    <w:rsid w:val="007F1D04"/>
    <w:rsid w:val="007F2845"/>
    <w:rsid w:val="007F2889"/>
    <w:rsid w:val="007F4996"/>
    <w:rsid w:val="007F4EA0"/>
    <w:rsid w:val="007F5195"/>
    <w:rsid w:val="007F5322"/>
    <w:rsid w:val="007F589A"/>
    <w:rsid w:val="007F5A41"/>
    <w:rsid w:val="007F5C7E"/>
    <w:rsid w:val="007F5C8A"/>
    <w:rsid w:val="007F6756"/>
    <w:rsid w:val="007F6ECA"/>
    <w:rsid w:val="007F773E"/>
    <w:rsid w:val="008006DF"/>
    <w:rsid w:val="00800C27"/>
    <w:rsid w:val="00801B24"/>
    <w:rsid w:val="0080201E"/>
    <w:rsid w:val="008022FA"/>
    <w:rsid w:val="00802842"/>
    <w:rsid w:val="008029A3"/>
    <w:rsid w:val="00802D88"/>
    <w:rsid w:val="00803272"/>
    <w:rsid w:val="008041E9"/>
    <w:rsid w:val="0080530F"/>
    <w:rsid w:val="00805524"/>
    <w:rsid w:val="00805B8A"/>
    <w:rsid w:val="00805E68"/>
    <w:rsid w:val="00807280"/>
    <w:rsid w:val="00807527"/>
    <w:rsid w:val="008075D4"/>
    <w:rsid w:val="008100B3"/>
    <w:rsid w:val="00811003"/>
    <w:rsid w:val="00811559"/>
    <w:rsid w:val="008122CC"/>
    <w:rsid w:val="0081339F"/>
    <w:rsid w:val="008137E0"/>
    <w:rsid w:val="0081427B"/>
    <w:rsid w:val="00814617"/>
    <w:rsid w:val="00814F1A"/>
    <w:rsid w:val="00815685"/>
    <w:rsid w:val="00816093"/>
    <w:rsid w:val="008168BB"/>
    <w:rsid w:val="008171F2"/>
    <w:rsid w:val="008205E0"/>
    <w:rsid w:val="00820C24"/>
    <w:rsid w:val="0082191D"/>
    <w:rsid w:val="00821980"/>
    <w:rsid w:val="0082253F"/>
    <w:rsid w:val="00823B5F"/>
    <w:rsid w:val="00824B7E"/>
    <w:rsid w:val="00824C12"/>
    <w:rsid w:val="00826848"/>
    <w:rsid w:val="00826A07"/>
    <w:rsid w:val="00826BEC"/>
    <w:rsid w:val="00826EE0"/>
    <w:rsid w:val="00826FDC"/>
    <w:rsid w:val="00831C14"/>
    <w:rsid w:val="008327F1"/>
    <w:rsid w:val="0083358D"/>
    <w:rsid w:val="00833685"/>
    <w:rsid w:val="008348A7"/>
    <w:rsid w:val="00834DF7"/>
    <w:rsid w:val="008368A0"/>
    <w:rsid w:val="00840AB2"/>
    <w:rsid w:val="008417A5"/>
    <w:rsid w:val="00842836"/>
    <w:rsid w:val="00842D56"/>
    <w:rsid w:val="0084318E"/>
    <w:rsid w:val="00844573"/>
    <w:rsid w:val="00844B59"/>
    <w:rsid w:val="00844C56"/>
    <w:rsid w:val="00845C17"/>
    <w:rsid w:val="00845F6A"/>
    <w:rsid w:val="00846C2C"/>
    <w:rsid w:val="00847FEC"/>
    <w:rsid w:val="0085129C"/>
    <w:rsid w:val="008516E5"/>
    <w:rsid w:val="00851EDD"/>
    <w:rsid w:val="00852227"/>
    <w:rsid w:val="00852675"/>
    <w:rsid w:val="00852853"/>
    <w:rsid w:val="00853251"/>
    <w:rsid w:val="00854301"/>
    <w:rsid w:val="008554B1"/>
    <w:rsid w:val="008558C2"/>
    <w:rsid w:val="00855F68"/>
    <w:rsid w:val="008570AA"/>
    <w:rsid w:val="00857724"/>
    <w:rsid w:val="00860E07"/>
    <w:rsid w:val="008613AD"/>
    <w:rsid w:val="00861FD9"/>
    <w:rsid w:val="0086223C"/>
    <w:rsid w:val="00862AC9"/>
    <w:rsid w:val="00862BDE"/>
    <w:rsid w:val="00862E2B"/>
    <w:rsid w:val="00863896"/>
    <w:rsid w:val="00865FC0"/>
    <w:rsid w:val="00865FEB"/>
    <w:rsid w:val="0086635F"/>
    <w:rsid w:val="0086659F"/>
    <w:rsid w:val="00866B3B"/>
    <w:rsid w:val="008706F9"/>
    <w:rsid w:val="00871BBB"/>
    <w:rsid w:val="00872B17"/>
    <w:rsid w:val="00873CDE"/>
    <w:rsid w:val="00874C18"/>
    <w:rsid w:val="00875458"/>
    <w:rsid w:val="00876925"/>
    <w:rsid w:val="00877941"/>
    <w:rsid w:val="00877C2B"/>
    <w:rsid w:val="0088016F"/>
    <w:rsid w:val="00880359"/>
    <w:rsid w:val="008803E8"/>
    <w:rsid w:val="0088062D"/>
    <w:rsid w:val="00880C22"/>
    <w:rsid w:val="00881408"/>
    <w:rsid w:val="0088206F"/>
    <w:rsid w:val="008821CE"/>
    <w:rsid w:val="00882419"/>
    <w:rsid w:val="008828A3"/>
    <w:rsid w:val="00882F88"/>
    <w:rsid w:val="008836B3"/>
    <w:rsid w:val="00883835"/>
    <w:rsid w:val="00884527"/>
    <w:rsid w:val="00884762"/>
    <w:rsid w:val="00885100"/>
    <w:rsid w:val="00885429"/>
    <w:rsid w:val="00886054"/>
    <w:rsid w:val="008862FF"/>
    <w:rsid w:val="00886B4F"/>
    <w:rsid w:val="00886FAE"/>
    <w:rsid w:val="00887570"/>
    <w:rsid w:val="0088767A"/>
    <w:rsid w:val="00892D2C"/>
    <w:rsid w:val="00893531"/>
    <w:rsid w:val="00893542"/>
    <w:rsid w:val="008952DA"/>
    <w:rsid w:val="00895D20"/>
    <w:rsid w:val="008961A9"/>
    <w:rsid w:val="00897074"/>
    <w:rsid w:val="00897720"/>
    <w:rsid w:val="008978AE"/>
    <w:rsid w:val="008A0865"/>
    <w:rsid w:val="008A0F2B"/>
    <w:rsid w:val="008A1CC1"/>
    <w:rsid w:val="008A1E03"/>
    <w:rsid w:val="008A2295"/>
    <w:rsid w:val="008A397B"/>
    <w:rsid w:val="008A400C"/>
    <w:rsid w:val="008A4564"/>
    <w:rsid w:val="008A4EC6"/>
    <w:rsid w:val="008A5FE9"/>
    <w:rsid w:val="008A6096"/>
    <w:rsid w:val="008A62B9"/>
    <w:rsid w:val="008A64F6"/>
    <w:rsid w:val="008A6636"/>
    <w:rsid w:val="008A664A"/>
    <w:rsid w:val="008A6C2A"/>
    <w:rsid w:val="008A7562"/>
    <w:rsid w:val="008A75A2"/>
    <w:rsid w:val="008B064A"/>
    <w:rsid w:val="008B09BE"/>
    <w:rsid w:val="008B0CF2"/>
    <w:rsid w:val="008B35FF"/>
    <w:rsid w:val="008B3914"/>
    <w:rsid w:val="008B3B34"/>
    <w:rsid w:val="008B4ECD"/>
    <w:rsid w:val="008B5BF8"/>
    <w:rsid w:val="008B685F"/>
    <w:rsid w:val="008B6EF6"/>
    <w:rsid w:val="008B7BB3"/>
    <w:rsid w:val="008B7C50"/>
    <w:rsid w:val="008B7C74"/>
    <w:rsid w:val="008B7CFC"/>
    <w:rsid w:val="008B7E9E"/>
    <w:rsid w:val="008C008E"/>
    <w:rsid w:val="008C0BF9"/>
    <w:rsid w:val="008C0FFB"/>
    <w:rsid w:val="008C2395"/>
    <w:rsid w:val="008C2834"/>
    <w:rsid w:val="008C29DE"/>
    <w:rsid w:val="008C2DE1"/>
    <w:rsid w:val="008C31A7"/>
    <w:rsid w:val="008C3A07"/>
    <w:rsid w:val="008C41AF"/>
    <w:rsid w:val="008C47C2"/>
    <w:rsid w:val="008C59E1"/>
    <w:rsid w:val="008C7964"/>
    <w:rsid w:val="008C7F04"/>
    <w:rsid w:val="008D0C02"/>
    <w:rsid w:val="008D201F"/>
    <w:rsid w:val="008D2AB7"/>
    <w:rsid w:val="008D3FC4"/>
    <w:rsid w:val="008D499A"/>
    <w:rsid w:val="008D4A08"/>
    <w:rsid w:val="008D5A64"/>
    <w:rsid w:val="008D60F8"/>
    <w:rsid w:val="008D63C6"/>
    <w:rsid w:val="008D71E1"/>
    <w:rsid w:val="008E1904"/>
    <w:rsid w:val="008E1B2E"/>
    <w:rsid w:val="008E2E02"/>
    <w:rsid w:val="008E2EE5"/>
    <w:rsid w:val="008E3162"/>
    <w:rsid w:val="008E3392"/>
    <w:rsid w:val="008E3A93"/>
    <w:rsid w:val="008E3C1A"/>
    <w:rsid w:val="008E40EB"/>
    <w:rsid w:val="008E4ED5"/>
    <w:rsid w:val="008E526C"/>
    <w:rsid w:val="008E6566"/>
    <w:rsid w:val="008E6C1D"/>
    <w:rsid w:val="008E6DFB"/>
    <w:rsid w:val="008E76A7"/>
    <w:rsid w:val="008F0E77"/>
    <w:rsid w:val="008F1C57"/>
    <w:rsid w:val="008F1CCB"/>
    <w:rsid w:val="008F1D16"/>
    <w:rsid w:val="008F2499"/>
    <w:rsid w:val="008F2679"/>
    <w:rsid w:val="008F2E6A"/>
    <w:rsid w:val="008F2F18"/>
    <w:rsid w:val="008F587E"/>
    <w:rsid w:val="008F63FC"/>
    <w:rsid w:val="008F6500"/>
    <w:rsid w:val="008F73EE"/>
    <w:rsid w:val="008F74E5"/>
    <w:rsid w:val="008F7E52"/>
    <w:rsid w:val="00901406"/>
    <w:rsid w:val="00901880"/>
    <w:rsid w:val="00901F5B"/>
    <w:rsid w:val="00902F20"/>
    <w:rsid w:val="0090312E"/>
    <w:rsid w:val="00903231"/>
    <w:rsid w:val="0090323D"/>
    <w:rsid w:val="00903285"/>
    <w:rsid w:val="0090365C"/>
    <w:rsid w:val="00903AF0"/>
    <w:rsid w:val="009040DE"/>
    <w:rsid w:val="00904101"/>
    <w:rsid w:val="00904F6C"/>
    <w:rsid w:val="00904FDD"/>
    <w:rsid w:val="009051CE"/>
    <w:rsid w:val="009055CB"/>
    <w:rsid w:val="00905943"/>
    <w:rsid w:val="00905D1C"/>
    <w:rsid w:val="009069C0"/>
    <w:rsid w:val="009073B7"/>
    <w:rsid w:val="0090766C"/>
    <w:rsid w:val="009104BE"/>
    <w:rsid w:val="00910FB9"/>
    <w:rsid w:val="0091102F"/>
    <w:rsid w:val="00912CD4"/>
    <w:rsid w:val="00912D70"/>
    <w:rsid w:val="009130C4"/>
    <w:rsid w:val="009138A1"/>
    <w:rsid w:val="00913D07"/>
    <w:rsid w:val="00914055"/>
    <w:rsid w:val="00915408"/>
    <w:rsid w:val="00915C2A"/>
    <w:rsid w:val="00915DAA"/>
    <w:rsid w:val="00916580"/>
    <w:rsid w:val="0091715D"/>
    <w:rsid w:val="00917234"/>
    <w:rsid w:val="009179EE"/>
    <w:rsid w:val="00917B30"/>
    <w:rsid w:val="00917B86"/>
    <w:rsid w:val="0092025A"/>
    <w:rsid w:val="00920279"/>
    <w:rsid w:val="009207BB"/>
    <w:rsid w:val="00921556"/>
    <w:rsid w:val="0092181D"/>
    <w:rsid w:val="00921C52"/>
    <w:rsid w:val="009220E1"/>
    <w:rsid w:val="009226FF"/>
    <w:rsid w:val="00922BF1"/>
    <w:rsid w:val="00922DDF"/>
    <w:rsid w:val="0092412A"/>
    <w:rsid w:val="00924EFE"/>
    <w:rsid w:val="0092516A"/>
    <w:rsid w:val="009258D3"/>
    <w:rsid w:val="00926E98"/>
    <w:rsid w:val="009300C5"/>
    <w:rsid w:val="009300C9"/>
    <w:rsid w:val="0093049E"/>
    <w:rsid w:val="00932D24"/>
    <w:rsid w:val="00934305"/>
    <w:rsid w:val="0093449D"/>
    <w:rsid w:val="009353FD"/>
    <w:rsid w:val="00935DBD"/>
    <w:rsid w:val="0093744F"/>
    <w:rsid w:val="00940A57"/>
    <w:rsid w:val="00942255"/>
    <w:rsid w:val="00942856"/>
    <w:rsid w:val="009438E2"/>
    <w:rsid w:val="00943933"/>
    <w:rsid w:val="00943F2F"/>
    <w:rsid w:val="009440E8"/>
    <w:rsid w:val="009445EB"/>
    <w:rsid w:val="0094476B"/>
    <w:rsid w:val="00944F45"/>
    <w:rsid w:val="0094524C"/>
    <w:rsid w:val="00945779"/>
    <w:rsid w:val="00945FCD"/>
    <w:rsid w:val="009467BB"/>
    <w:rsid w:val="00946E90"/>
    <w:rsid w:val="009471C8"/>
    <w:rsid w:val="00947F8E"/>
    <w:rsid w:val="00950768"/>
    <w:rsid w:val="009507CD"/>
    <w:rsid w:val="00951665"/>
    <w:rsid w:val="00951E05"/>
    <w:rsid w:val="0095230A"/>
    <w:rsid w:val="009523BC"/>
    <w:rsid w:val="0095283A"/>
    <w:rsid w:val="009530CA"/>
    <w:rsid w:val="00953295"/>
    <w:rsid w:val="009533D4"/>
    <w:rsid w:val="009536C0"/>
    <w:rsid w:val="00954A02"/>
    <w:rsid w:val="00955A0A"/>
    <w:rsid w:val="00955EB5"/>
    <w:rsid w:val="00956792"/>
    <w:rsid w:val="009575AE"/>
    <w:rsid w:val="0096037C"/>
    <w:rsid w:val="009605C3"/>
    <w:rsid w:val="00960AEF"/>
    <w:rsid w:val="009627BD"/>
    <w:rsid w:val="00962AC7"/>
    <w:rsid w:val="009638A3"/>
    <w:rsid w:val="0096393F"/>
    <w:rsid w:val="00963AE9"/>
    <w:rsid w:val="00964404"/>
    <w:rsid w:val="009663CE"/>
    <w:rsid w:val="009665FC"/>
    <w:rsid w:val="00966666"/>
    <w:rsid w:val="00966A87"/>
    <w:rsid w:val="00967B29"/>
    <w:rsid w:val="00967EB5"/>
    <w:rsid w:val="0097053B"/>
    <w:rsid w:val="009716E8"/>
    <w:rsid w:val="0097273D"/>
    <w:rsid w:val="00972F30"/>
    <w:rsid w:val="009731CD"/>
    <w:rsid w:val="00974D37"/>
    <w:rsid w:val="00974E44"/>
    <w:rsid w:val="00975B91"/>
    <w:rsid w:val="009764A4"/>
    <w:rsid w:val="009771AA"/>
    <w:rsid w:val="00977BA6"/>
    <w:rsid w:val="00980724"/>
    <w:rsid w:val="009808B0"/>
    <w:rsid w:val="00980B20"/>
    <w:rsid w:val="0098151F"/>
    <w:rsid w:val="009822D7"/>
    <w:rsid w:val="009822F0"/>
    <w:rsid w:val="00983308"/>
    <w:rsid w:val="00983A67"/>
    <w:rsid w:val="00983E55"/>
    <w:rsid w:val="009864CF"/>
    <w:rsid w:val="009868D4"/>
    <w:rsid w:val="0099031D"/>
    <w:rsid w:val="00991000"/>
    <w:rsid w:val="00991EB4"/>
    <w:rsid w:val="00991FA8"/>
    <w:rsid w:val="009928A8"/>
    <w:rsid w:val="00992BAF"/>
    <w:rsid w:val="00992F43"/>
    <w:rsid w:val="00993871"/>
    <w:rsid w:val="00994C2B"/>
    <w:rsid w:val="00994DAF"/>
    <w:rsid w:val="00996896"/>
    <w:rsid w:val="00996B4D"/>
    <w:rsid w:val="00996D0D"/>
    <w:rsid w:val="009972DA"/>
    <w:rsid w:val="009A0AA3"/>
    <w:rsid w:val="009A0EAF"/>
    <w:rsid w:val="009A280E"/>
    <w:rsid w:val="009A291F"/>
    <w:rsid w:val="009A2CBF"/>
    <w:rsid w:val="009A30BF"/>
    <w:rsid w:val="009A3F9F"/>
    <w:rsid w:val="009A4083"/>
    <w:rsid w:val="009A4727"/>
    <w:rsid w:val="009A4A47"/>
    <w:rsid w:val="009A4C47"/>
    <w:rsid w:val="009A59DF"/>
    <w:rsid w:val="009A5A24"/>
    <w:rsid w:val="009A5E9C"/>
    <w:rsid w:val="009A6B90"/>
    <w:rsid w:val="009A6B91"/>
    <w:rsid w:val="009A7525"/>
    <w:rsid w:val="009A7664"/>
    <w:rsid w:val="009A7FB8"/>
    <w:rsid w:val="009B06BC"/>
    <w:rsid w:val="009B1169"/>
    <w:rsid w:val="009B1687"/>
    <w:rsid w:val="009B1BDE"/>
    <w:rsid w:val="009B1F47"/>
    <w:rsid w:val="009B2B6A"/>
    <w:rsid w:val="009B327E"/>
    <w:rsid w:val="009B339A"/>
    <w:rsid w:val="009B3680"/>
    <w:rsid w:val="009B3F01"/>
    <w:rsid w:val="009B4D71"/>
    <w:rsid w:val="009B52D7"/>
    <w:rsid w:val="009B56E8"/>
    <w:rsid w:val="009B5BE2"/>
    <w:rsid w:val="009B5CEA"/>
    <w:rsid w:val="009B6E55"/>
    <w:rsid w:val="009B7CA4"/>
    <w:rsid w:val="009C05AC"/>
    <w:rsid w:val="009C089E"/>
    <w:rsid w:val="009C120F"/>
    <w:rsid w:val="009C12B4"/>
    <w:rsid w:val="009C139B"/>
    <w:rsid w:val="009C29F4"/>
    <w:rsid w:val="009C2F1E"/>
    <w:rsid w:val="009C39BD"/>
    <w:rsid w:val="009C3DDB"/>
    <w:rsid w:val="009C53B2"/>
    <w:rsid w:val="009C5932"/>
    <w:rsid w:val="009C5AC1"/>
    <w:rsid w:val="009C7D08"/>
    <w:rsid w:val="009C7F22"/>
    <w:rsid w:val="009D09B9"/>
    <w:rsid w:val="009D09C4"/>
    <w:rsid w:val="009D0D04"/>
    <w:rsid w:val="009D52C7"/>
    <w:rsid w:val="009D7095"/>
    <w:rsid w:val="009E04AF"/>
    <w:rsid w:val="009E08FF"/>
    <w:rsid w:val="009E4159"/>
    <w:rsid w:val="009E485D"/>
    <w:rsid w:val="009E4A6F"/>
    <w:rsid w:val="009E4E38"/>
    <w:rsid w:val="009E5BB5"/>
    <w:rsid w:val="009E63FE"/>
    <w:rsid w:val="009E6986"/>
    <w:rsid w:val="009E69CC"/>
    <w:rsid w:val="009E6AD0"/>
    <w:rsid w:val="009F091E"/>
    <w:rsid w:val="009F09DD"/>
    <w:rsid w:val="009F0E20"/>
    <w:rsid w:val="009F0F57"/>
    <w:rsid w:val="009F12B1"/>
    <w:rsid w:val="009F1A29"/>
    <w:rsid w:val="009F3C62"/>
    <w:rsid w:val="009F51BF"/>
    <w:rsid w:val="009F5C69"/>
    <w:rsid w:val="009F6612"/>
    <w:rsid w:val="009F7FB0"/>
    <w:rsid w:val="00A00FE5"/>
    <w:rsid w:val="00A010AF"/>
    <w:rsid w:val="00A025C8"/>
    <w:rsid w:val="00A035B6"/>
    <w:rsid w:val="00A0440E"/>
    <w:rsid w:val="00A0447E"/>
    <w:rsid w:val="00A055A2"/>
    <w:rsid w:val="00A055BA"/>
    <w:rsid w:val="00A05838"/>
    <w:rsid w:val="00A05BDC"/>
    <w:rsid w:val="00A065E3"/>
    <w:rsid w:val="00A068BD"/>
    <w:rsid w:val="00A0736F"/>
    <w:rsid w:val="00A079C5"/>
    <w:rsid w:val="00A07DF1"/>
    <w:rsid w:val="00A10993"/>
    <w:rsid w:val="00A10DF5"/>
    <w:rsid w:val="00A118FA"/>
    <w:rsid w:val="00A11C65"/>
    <w:rsid w:val="00A1238E"/>
    <w:rsid w:val="00A147BA"/>
    <w:rsid w:val="00A14F25"/>
    <w:rsid w:val="00A150CD"/>
    <w:rsid w:val="00A15463"/>
    <w:rsid w:val="00A17698"/>
    <w:rsid w:val="00A20365"/>
    <w:rsid w:val="00A2099A"/>
    <w:rsid w:val="00A20DB6"/>
    <w:rsid w:val="00A2195D"/>
    <w:rsid w:val="00A21A8D"/>
    <w:rsid w:val="00A21F26"/>
    <w:rsid w:val="00A23123"/>
    <w:rsid w:val="00A2364B"/>
    <w:rsid w:val="00A23AC1"/>
    <w:rsid w:val="00A23FB7"/>
    <w:rsid w:val="00A2409B"/>
    <w:rsid w:val="00A25025"/>
    <w:rsid w:val="00A251BE"/>
    <w:rsid w:val="00A25EAB"/>
    <w:rsid w:val="00A27620"/>
    <w:rsid w:val="00A3036E"/>
    <w:rsid w:val="00A308A5"/>
    <w:rsid w:val="00A30A94"/>
    <w:rsid w:val="00A30C20"/>
    <w:rsid w:val="00A3149F"/>
    <w:rsid w:val="00A31C0C"/>
    <w:rsid w:val="00A322D3"/>
    <w:rsid w:val="00A32970"/>
    <w:rsid w:val="00A335B9"/>
    <w:rsid w:val="00A33BF9"/>
    <w:rsid w:val="00A340D8"/>
    <w:rsid w:val="00A35822"/>
    <w:rsid w:val="00A364E0"/>
    <w:rsid w:val="00A36990"/>
    <w:rsid w:val="00A371AF"/>
    <w:rsid w:val="00A3740A"/>
    <w:rsid w:val="00A37EF6"/>
    <w:rsid w:val="00A40786"/>
    <w:rsid w:val="00A410EA"/>
    <w:rsid w:val="00A4180D"/>
    <w:rsid w:val="00A4267E"/>
    <w:rsid w:val="00A42F8F"/>
    <w:rsid w:val="00A43137"/>
    <w:rsid w:val="00A437F6"/>
    <w:rsid w:val="00A43F6D"/>
    <w:rsid w:val="00A4402D"/>
    <w:rsid w:val="00A441DF"/>
    <w:rsid w:val="00A44AA1"/>
    <w:rsid w:val="00A455EE"/>
    <w:rsid w:val="00A45D07"/>
    <w:rsid w:val="00A46E26"/>
    <w:rsid w:val="00A4789F"/>
    <w:rsid w:val="00A47B85"/>
    <w:rsid w:val="00A509AB"/>
    <w:rsid w:val="00A513BE"/>
    <w:rsid w:val="00A51B00"/>
    <w:rsid w:val="00A52C1A"/>
    <w:rsid w:val="00A52E3D"/>
    <w:rsid w:val="00A52E6B"/>
    <w:rsid w:val="00A53A4C"/>
    <w:rsid w:val="00A53AA9"/>
    <w:rsid w:val="00A543D4"/>
    <w:rsid w:val="00A5485A"/>
    <w:rsid w:val="00A54A4F"/>
    <w:rsid w:val="00A54ADC"/>
    <w:rsid w:val="00A56471"/>
    <w:rsid w:val="00A56B18"/>
    <w:rsid w:val="00A5723F"/>
    <w:rsid w:val="00A572BD"/>
    <w:rsid w:val="00A57B0B"/>
    <w:rsid w:val="00A57F96"/>
    <w:rsid w:val="00A60510"/>
    <w:rsid w:val="00A611BB"/>
    <w:rsid w:val="00A64028"/>
    <w:rsid w:val="00A643FA"/>
    <w:rsid w:val="00A64425"/>
    <w:rsid w:val="00A65E86"/>
    <w:rsid w:val="00A668FB"/>
    <w:rsid w:val="00A6702B"/>
    <w:rsid w:val="00A70DA5"/>
    <w:rsid w:val="00A71189"/>
    <w:rsid w:val="00A71D10"/>
    <w:rsid w:val="00A71D21"/>
    <w:rsid w:val="00A7220C"/>
    <w:rsid w:val="00A72533"/>
    <w:rsid w:val="00A7267F"/>
    <w:rsid w:val="00A73A8A"/>
    <w:rsid w:val="00A74F07"/>
    <w:rsid w:val="00A75972"/>
    <w:rsid w:val="00A76084"/>
    <w:rsid w:val="00A761C5"/>
    <w:rsid w:val="00A80432"/>
    <w:rsid w:val="00A806A9"/>
    <w:rsid w:val="00A807C8"/>
    <w:rsid w:val="00A80A87"/>
    <w:rsid w:val="00A812A3"/>
    <w:rsid w:val="00A81C21"/>
    <w:rsid w:val="00A82039"/>
    <w:rsid w:val="00A839FB"/>
    <w:rsid w:val="00A83F45"/>
    <w:rsid w:val="00A8400E"/>
    <w:rsid w:val="00A841D9"/>
    <w:rsid w:val="00A867DB"/>
    <w:rsid w:val="00A869D6"/>
    <w:rsid w:val="00A86ECE"/>
    <w:rsid w:val="00A875BE"/>
    <w:rsid w:val="00A877F9"/>
    <w:rsid w:val="00A90B18"/>
    <w:rsid w:val="00A91520"/>
    <w:rsid w:val="00A91773"/>
    <w:rsid w:val="00A918FC"/>
    <w:rsid w:val="00A91ABE"/>
    <w:rsid w:val="00A921D4"/>
    <w:rsid w:val="00A92883"/>
    <w:rsid w:val="00A92E92"/>
    <w:rsid w:val="00A92F4F"/>
    <w:rsid w:val="00A93090"/>
    <w:rsid w:val="00A933B4"/>
    <w:rsid w:val="00A93839"/>
    <w:rsid w:val="00A93D8C"/>
    <w:rsid w:val="00A93DA1"/>
    <w:rsid w:val="00A94C29"/>
    <w:rsid w:val="00A95AC6"/>
    <w:rsid w:val="00A95E01"/>
    <w:rsid w:val="00A96395"/>
    <w:rsid w:val="00A96972"/>
    <w:rsid w:val="00A9710F"/>
    <w:rsid w:val="00A979CB"/>
    <w:rsid w:val="00AA4277"/>
    <w:rsid w:val="00AA4545"/>
    <w:rsid w:val="00AA6414"/>
    <w:rsid w:val="00AA6C82"/>
    <w:rsid w:val="00AA6EC7"/>
    <w:rsid w:val="00AB01AE"/>
    <w:rsid w:val="00AB03B3"/>
    <w:rsid w:val="00AB05A0"/>
    <w:rsid w:val="00AB0DD6"/>
    <w:rsid w:val="00AB126F"/>
    <w:rsid w:val="00AB1312"/>
    <w:rsid w:val="00AB1757"/>
    <w:rsid w:val="00AB179F"/>
    <w:rsid w:val="00AB19F2"/>
    <w:rsid w:val="00AB1A15"/>
    <w:rsid w:val="00AB210D"/>
    <w:rsid w:val="00AB2E65"/>
    <w:rsid w:val="00AB315A"/>
    <w:rsid w:val="00AB3D3B"/>
    <w:rsid w:val="00AB4CFA"/>
    <w:rsid w:val="00AB51E4"/>
    <w:rsid w:val="00AB5225"/>
    <w:rsid w:val="00AB621A"/>
    <w:rsid w:val="00AB65F6"/>
    <w:rsid w:val="00AB67B0"/>
    <w:rsid w:val="00AB704D"/>
    <w:rsid w:val="00AB70A5"/>
    <w:rsid w:val="00AB7655"/>
    <w:rsid w:val="00AB77B3"/>
    <w:rsid w:val="00AB782C"/>
    <w:rsid w:val="00AB7A04"/>
    <w:rsid w:val="00AC06FE"/>
    <w:rsid w:val="00AC14AF"/>
    <w:rsid w:val="00AC17FF"/>
    <w:rsid w:val="00AC1B7C"/>
    <w:rsid w:val="00AC25B2"/>
    <w:rsid w:val="00AC41C3"/>
    <w:rsid w:val="00AC47B6"/>
    <w:rsid w:val="00AC4AB2"/>
    <w:rsid w:val="00AC4E6C"/>
    <w:rsid w:val="00AC52EC"/>
    <w:rsid w:val="00AC553A"/>
    <w:rsid w:val="00AC558B"/>
    <w:rsid w:val="00AC5C66"/>
    <w:rsid w:val="00AC5FEB"/>
    <w:rsid w:val="00AC6961"/>
    <w:rsid w:val="00AC6A24"/>
    <w:rsid w:val="00AC7093"/>
    <w:rsid w:val="00AC7186"/>
    <w:rsid w:val="00AC79E4"/>
    <w:rsid w:val="00AC7AA9"/>
    <w:rsid w:val="00AC7D32"/>
    <w:rsid w:val="00AD0017"/>
    <w:rsid w:val="00AD0343"/>
    <w:rsid w:val="00AD0B8C"/>
    <w:rsid w:val="00AD0D36"/>
    <w:rsid w:val="00AD2CA2"/>
    <w:rsid w:val="00AD3712"/>
    <w:rsid w:val="00AD3D71"/>
    <w:rsid w:val="00AD3EA2"/>
    <w:rsid w:val="00AD4070"/>
    <w:rsid w:val="00AD44DC"/>
    <w:rsid w:val="00AD4609"/>
    <w:rsid w:val="00AD5A5C"/>
    <w:rsid w:val="00AE0B31"/>
    <w:rsid w:val="00AE0EF8"/>
    <w:rsid w:val="00AE17A7"/>
    <w:rsid w:val="00AE1F33"/>
    <w:rsid w:val="00AE2989"/>
    <w:rsid w:val="00AE3218"/>
    <w:rsid w:val="00AE32D9"/>
    <w:rsid w:val="00AE3B1F"/>
    <w:rsid w:val="00AE3DD4"/>
    <w:rsid w:val="00AE43C4"/>
    <w:rsid w:val="00AE4454"/>
    <w:rsid w:val="00AE4958"/>
    <w:rsid w:val="00AE4D65"/>
    <w:rsid w:val="00AE52B3"/>
    <w:rsid w:val="00AE58AB"/>
    <w:rsid w:val="00AE5D68"/>
    <w:rsid w:val="00AE6DAB"/>
    <w:rsid w:val="00AE7A92"/>
    <w:rsid w:val="00AE7DF5"/>
    <w:rsid w:val="00AE7EF6"/>
    <w:rsid w:val="00AE7F0F"/>
    <w:rsid w:val="00AF0136"/>
    <w:rsid w:val="00AF0141"/>
    <w:rsid w:val="00AF0EBD"/>
    <w:rsid w:val="00AF18B3"/>
    <w:rsid w:val="00AF3BA9"/>
    <w:rsid w:val="00AF40DE"/>
    <w:rsid w:val="00AF4CCA"/>
    <w:rsid w:val="00AF5435"/>
    <w:rsid w:val="00AF77E8"/>
    <w:rsid w:val="00AF7B5E"/>
    <w:rsid w:val="00B00499"/>
    <w:rsid w:val="00B004D3"/>
    <w:rsid w:val="00B00761"/>
    <w:rsid w:val="00B00935"/>
    <w:rsid w:val="00B00CF6"/>
    <w:rsid w:val="00B012BD"/>
    <w:rsid w:val="00B014E7"/>
    <w:rsid w:val="00B02A7E"/>
    <w:rsid w:val="00B02D50"/>
    <w:rsid w:val="00B0338D"/>
    <w:rsid w:val="00B036E5"/>
    <w:rsid w:val="00B038AB"/>
    <w:rsid w:val="00B03D8D"/>
    <w:rsid w:val="00B04187"/>
    <w:rsid w:val="00B06424"/>
    <w:rsid w:val="00B06604"/>
    <w:rsid w:val="00B07EC2"/>
    <w:rsid w:val="00B10B2A"/>
    <w:rsid w:val="00B115CA"/>
    <w:rsid w:val="00B122B7"/>
    <w:rsid w:val="00B1287D"/>
    <w:rsid w:val="00B137EA"/>
    <w:rsid w:val="00B13FED"/>
    <w:rsid w:val="00B14152"/>
    <w:rsid w:val="00B14513"/>
    <w:rsid w:val="00B147C9"/>
    <w:rsid w:val="00B15ACB"/>
    <w:rsid w:val="00B1686A"/>
    <w:rsid w:val="00B16BF8"/>
    <w:rsid w:val="00B20D82"/>
    <w:rsid w:val="00B20FEC"/>
    <w:rsid w:val="00B216C6"/>
    <w:rsid w:val="00B218D2"/>
    <w:rsid w:val="00B21BCE"/>
    <w:rsid w:val="00B21D78"/>
    <w:rsid w:val="00B221AB"/>
    <w:rsid w:val="00B2223A"/>
    <w:rsid w:val="00B2265B"/>
    <w:rsid w:val="00B22735"/>
    <w:rsid w:val="00B22ABA"/>
    <w:rsid w:val="00B23044"/>
    <w:rsid w:val="00B233A7"/>
    <w:rsid w:val="00B23717"/>
    <w:rsid w:val="00B242AF"/>
    <w:rsid w:val="00B245FF"/>
    <w:rsid w:val="00B24A89"/>
    <w:rsid w:val="00B24DFF"/>
    <w:rsid w:val="00B254E2"/>
    <w:rsid w:val="00B2614F"/>
    <w:rsid w:val="00B26607"/>
    <w:rsid w:val="00B277C0"/>
    <w:rsid w:val="00B279D4"/>
    <w:rsid w:val="00B27EEB"/>
    <w:rsid w:val="00B30004"/>
    <w:rsid w:val="00B30157"/>
    <w:rsid w:val="00B302AC"/>
    <w:rsid w:val="00B311F7"/>
    <w:rsid w:val="00B318AA"/>
    <w:rsid w:val="00B31CB9"/>
    <w:rsid w:val="00B3290C"/>
    <w:rsid w:val="00B32F25"/>
    <w:rsid w:val="00B332BE"/>
    <w:rsid w:val="00B3346B"/>
    <w:rsid w:val="00B33C46"/>
    <w:rsid w:val="00B353ED"/>
    <w:rsid w:val="00B35592"/>
    <w:rsid w:val="00B358E4"/>
    <w:rsid w:val="00B35A85"/>
    <w:rsid w:val="00B362B8"/>
    <w:rsid w:val="00B36F33"/>
    <w:rsid w:val="00B37CD6"/>
    <w:rsid w:val="00B41261"/>
    <w:rsid w:val="00B416F4"/>
    <w:rsid w:val="00B41991"/>
    <w:rsid w:val="00B41E8E"/>
    <w:rsid w:val="00B41E9A"/>
    <w:rsid w:val="00B420B0"/>
    <w:rsid w:val="00B42258"/>
    <w:rsid w:val="00B42450"/>
    <w:rsid w:val="00B44107"/>
    <w:rsid w:val="00B45413"/>
    <w:rsid w:val="00B45891"/>
    <w:rsid w:val="00B45C90"/>
    <w:rsid w:val="00B46449"/>
    <w:rsid w:val="00B46A3C"/>
    <w:rsid w:val="00B47A89"/>
    <w:rsid w:val="00B47BB3"/>
    <w:rsid w:val="00B47F99"/>
    <w:rsid w:val="00B50B02"/>
    <w:rsid w:val="00B51A8A"/>
    <w:rsid w:val="00B51CB4"/>
    <w:rsid w:val="00B52945"/>
    <w:rsid w:val="00B52B57"/>
    <w:rsid w:val="00B53088"/>
    <w:rsid w:val="00B53341"/>
    <w:rsid w:val="00B533D2"/>
    <w:rsid w:val="00B53710"/>
    <w:rsid w:val="00B53D89"/>
    <w:rsid w:val="00B567C8"/>
    <w:rsid w:val="00B56CDE"/>
    <w:rsid w:val="00B5734F"/>
    <w:rsid w:val="00B575F0"/>
    <w:rsid w:val="00B578B5"/>
    <w:rsid w:val="00B600FE"/>
    <w:rsid w:val="00B6048A"/>
    <w:rsid w:val="00B61262"/>
    <w:rsid w:val="00B612F1"/>
    <w:rsid w:val="00B618A0"/>
    <w:rsid w:val="00B629EE"/>
    <w:rsid w:val="00B6351D"/>
    <w:rsid w:val="00B6426D"/>
    <w:rsid w:val="00B650CF"/>
    <w:rsid w:val="00B661D4"/>
    <w:rsid w:val="00B667F6"/>
    <w:rsid w:val="00B671A0"/>
    <w:rsid w:val="00B70D74"/>
    <w:rsid w:val="00B71032"/>
    <w:rsid w:val="00B713AA"/>
    <w:rsid w:val="00B716F8"/>
    <w:rsid w:val="00B71E34"/>
    <w:rsid w:val="00B7326F"/>
    <w:rsid w:val="00B7378C"/>
    <w:rsid w:val="00B7465B"/>
    <w:rsid w:val="00B74958"/>
    <w:rsid w:val="00B74E27"/>
    <w:rsid w:val="00B74E55"/>
    <w:rsid w:val="00B75163"/>
    <w:rsid w:val="00B762A9"/>
    <w:rsid w:val="00B76AA9"/>
    <w:rsid w:val="00B77BB6"/>
    <w:rsid w:val="00B80622"/>
    <w:rsid w:val="00B80917"/>
    <w:rsid w:val="00B81B3B"/>
    <w:rsid w:val="00B8333A"/>
    <w:rsid w:val="00B83403"/>
    <w:rsid w:val="00B8342D"/>
    <w:rsid w:val="00B8443F"/>
    <w:rsid w:val="00B85535"/>
    <w:rsid w:val="00B87EE4"/>
    <w:rsid w:val="00B87F3F"/>
    <w:rsid w:val="00B902E6"/>
    <w:rsid w:val="00B90B56"/>
    <w:rsid w:val="00B91352"/>
    <w:rsid w:val="00B917E2"/>
    <w:rsid w:val="00B924B7"/>
    <w:rsid w:val="00B924B9"/>
    <w:rsid w:val="00B92BEC"/>
    <w:rsid w:val="00B9388E"/>
    <w:rsid w:val="00B93D7E"/>
    <w:rsid w:val="00B948B3"/>
    <w:rsid w:val="00B95547"/>
    <w:rsid w:val="00B95659"/>
    <w:rsid w:val="00B958BB"/>
    <w:rsid w:val="00B95B64"/>
    <w:rsid w:val="00B95BF4"/>
    <w:rsid w:val="00B962C7"/>
    <w:rsid w:val="00B96A16"/>
    <w:rsid w:val="00B9759F"/>
    <w:rsid w:val="00BA0A03"/>
    <w:rsid w:val="00BA1B32"/>
    <w:rsid w:val="00BA1CF8"/>
    <w:rsid w:val="00BA255F"/>
    <w:rsid w:val="00BA27AD"/>
    <w:rsid w:val="00BA2A64"/>
    <w:rsid w:val="00BA3DEF"/>
    <w:rsid w:val="00BA499C"/>
    <w:rsid w:val="00BA5A6A"/>
    <w:rsid w:val="00BA7C26"/>
    <w:rsid w:val="00BA7CAD"/>
    <w:rsid w:val="00BB014D"/>
    <w:rsid w:val="00BB0291"/>
    <w:rsid w:val="00BB148E"/>
    <w:rsid w:val="00BB1830"/>
    <w:rsid w:val="00BB1EDB"/>
    <w:rsid w:val="00BB220F"/>
    <w:rsid w:val="00BB3A28"/>
    <w:rsid w:val="00BB3C24"/>
    <w:rsid w:val="00BB428F"/>
    <w:rsid w:val="00BB430E"/>
    <w:rsid w:val="00BB4A09"/>
    <w:rsid w:val="00BB5B51"/>
    <w:rsid w:val="00BB650B"/>
    <w:rsid w:val="00BB7E13"/>
    <w:rsid w:val="00BC06E2"/>
    <w:rsid w:val="00BC0FDA"/>
    <w:rsid w:val="00BC1A1F"/>
    <w:rsid w:val="00BC23A2"/>
    <w:rsid w:val="00BC32DF"/>
    <w:rsid w:val="00BC3C3D"/>
    <w:rsid w:val="00BC43EA"/>
    <w:rsid w:val="00BC4CC0"/>
    <w:rsid w:val="00BC509C"/>
    <w:rsid w:val="00BC51EA"/>
    <w:rsid w:val="00BC5625"/>
    <w:rsid w:val="00BC5F46"/>
    <w:rsid w:val="00BC60F6"/>
    <w:rsid w:val="00BC61E8"/>
    <w:rsid w:val="00BC62F1"/>
    <w:rsid w:val="00BC65BB"/>
    <w:rsid w:val="00BC6F2C"/>
    <w:rsid w:val="00BC7C2B"/>
    <w:rsid w:val="00BC7CB4"/>
    <w:rsid w:val="00BD01E6"/>
    <w:rsid w:val="00BD060C"/>
    <w:rsid w:val="00BD1B12"/>
    <w:rsid w:val="00BD2656"/>
    <w:rsid w:val="00BD313F"/>
    <w:rsid w:val="00BD3615"/>
    <w:rsid w:val="00BD53DE"/>
    <w:rsid w:val="00BD5BEE"/>
    <w:rsid w:val="00BD7E7A"/>
    <w:rsid w:val="00BE0B80"/>
    <w:rsid w:val="00BE0C22"/>
    <w:rsid w:val="00BE1049"/>
    <w:rsid w:val="00BE1C1D"/>
    <w:rsid w:val="00BE2565"/>
    <w:rsid w:val="00BE2979"/>
    <w:rsid w:val="00BE2FF1"/>
    <w:rsid w:val="00BE3417"/>
    <w:rsid w:val="00BE36BB"/>
    <w:rsid w:val="00BE37D6"/>
    <w:rsid w:val="00BE3879"/>
    <w:rsid w:val="00BE3967"/>
    <w:rsid w:val="00BE399F"/>
    <w:rsid w:val="00BE4053"/>
    <w:rsid w:val="00BE45B4"/>
    <w:rsid w:val="00BE4BDB"/>
    <w:rsid w:val="00BE4EF1"/>
    <w:rsid w:val="00BE60B5"/>
    <w:rsid w:val="00BE623D"/>
    <w:rsid w:val="00BE66FC"/>
    <w:rsid w:val="00BE6AA0"/>
    <w:rsid w:val="00BE7139"/>
    <w:rsid w:val="00BE7826"/>
    <w:rsid w:val="00BF0581"/>
    <w:rsid w:val="00BF0D44"/>
    <w:rsid w:val="00BF19DA"/>
    <w:rsid w:val="00BF28B7"/>
    <w:rsid w:val="00BF39FE"/>
    <w:rsid w:val="00BF3DF7"/>
    <w:rsid w:val="00BF49D9"/>
    <w:rsid w:val="00BF4C07"/>
    <w:rsid w:val="00BF4E81"/>
    <w:rsid w:val="00BF4EA7"/>
    <w:rsid w:val="00BF5454"/>
    <w:rsid w:val="00BF56F8"/>
    <w:rsid w:val="00BF59BE"/>
    <w:rsid w:val="00BF6097"/>
    <w:rsid w:val="00BF6CAA"/>
    <w:rsid w:val="00BF7233"/>
    <w:rsid w:val="00BF7576"/>
    <w:rsid w:val="00BF79D5"/>
    <w:rsid w:val="00C00793"/>
    <w:rsid w:val="00C00EE7"/>
    <w:rsid w:val="00C01C3F"/>
    <w:rsid w:val="00C02274"/>
    <w:rsid w:val="00C02620"/>
    <w:rsid w:val="00C02977"/>
    <w:rsid w:val="00C02F22"/>
    <w:rsid w:val="00C0330A"/>
    <w:rsid w:val="00C05048"/>
    <w:rsid w:val="00C0528C"/>
    <w:rsid w:val="00C07D8A"/>
    <w:rsid w:val="00C10D06"/>
    <w:rsid w:val="00C11D0C"/>
    <w:rsid w:val="00C12F2F"/>
    <w:rsid w:val="00C1338C"/>
    <w:rsid w:val="00C16D20"/>
    <w:rsid w:val="00C17281"/>
    <w:rsid w:val="00C208D9"/>
    <w:rsid w:val="00C208F9"/>
    <w:rsid w:val="00C20B7F"/>
    <w:rsid w:val="00C20E1F"/>
    <w:rsid w:val="00C2139A"/>
    <w:rsid w:val="00C23328"/>
    <w:rsid w:val="00C2372B"/>
    <w:rsid w:val="00C23CC1"/>
    <w:rsid w:val="00C23D8A"/>
    <w:rsid w:val="00C23E80"/>
    <w:rsid w:val="00C2463D"/>
    <w:rsid w:val="00C251FE"/>
    <w:rsid w:val="00C25318"/>
    <w:rsid w:val="00C2615D"/>
    <w:rsid w:val="00C26DAF"/>
    <w:rsid w:val="00C270E8"/>
    <w:rsid w:val="00C2747A"/>
    <w:rsid w:val="00C2755A"/>
    <w:rsid w:val="00C275D5"/>
    <w:rsid w:val="00C27659"/>
    <w:rsid w:val="00C278BE"/>
    <w:rsid w:val="00C27C4F"/>
    <w:rsid w:val="00C302A8"/>
    <w:rsid w:val="00C3055B"/>
    <w:rsid w:val="00C30D32"/>
    <w:rsid w:val="00C3149C"/>
    <w:rsid w:val="00C315B1"/>
    <w:rsid w:val="00C31822"/>
    <w:rsid w:val="00C3210C"/>
    <w:rsid w:val="00C3302E"/>
    <w:rsid w:val="00C338EB"/>
    <w:rsid w:val="00C33EC6"/>
    <w:rsid w:val="00C35288"/>
    <w:rsid w:val="00C40DA5"/>
    <w:rsid w:val="00C40E1A"/>
    <w:rsid w:val="00C4109D"/>
    <w:rsid w:val="00C4463C"/>
    <w:rsid w:val="00C4491A"/>
    <w:rsid w:val="00C4500C"/>
    <w:rsid w:val="00C464A7"/>
    <w:rsid w:val="00C469CD"/>
    <w:rsid w:val="00C47184"/>
    <w:rsid w:val="00C475AC"/>
    <w:rsid w:val="00C51023"/>
    <w:rsid w:val="00C5245A"/>
    <w:rsid w:val="00C52767"/>
    <w:rsid w:val="00C52EFF"/>
    <w:rsid w:val="00C53170"/>
    <w:rsid w:val="00C536AF"/>
    <w:rsid w:val="00C54135"/>
    <w:rsid w:val="00C54290"/>
    <w:rsid w:val="00C54739"/>
    <w:rsid w:val="00C54A9B"/>
    <w:rsid w:val="00C54C6E"/>
    <w:rsid w:val="00C55250"/>
    <w:rsid w:val="00C55584"/>
    <w:rsid w:val="00C56048"/>
    <w:rsid w:val="00C56136"/>
    <w:rsid w:val="00C578FA"/>
    <w:rsid w:val="00C60135"/>
    <w:rsid w:val="00C6021F"/>
    <w:rsid w:val="00C613C2"/>
    <w:rsid w:val="00C61777"/>
    <w:rsid w:val="00C6257B"/>
    <w:rsid w:val="00C62CE9"/>
    <w:rsid w:val="00C62FE6"/>
    <w:rsid w:val="00C63C78"/>
    <w:rsid w:val="00C63CB0"/>
    <w:rsid w:val="00C64F0F"/>
    <w:rsid w:val="00C65169"/>
    <w:rsid w:val="00C6536F"/>
    <w:rsid w:val="00C659FC"/>
    <w:rsid w:val="00C66A3E"/>
    <w:rsid w:val="00C66B15"/>
    <w:rsid w:val="00C66CF4"/>
    <w:rsid w:val="00C66D00"/>
    <w:rsid w:val="00C67517"/>
    <w:rsid w:val="00C678F5"/>
    <w:rsid w:val="00C67AF0"/>
    <w:rsid w:val="00C67B05"/>
    <w:rsid w:val="00C7025C"/>
    <w:rsid w:val="00C704F9"/>
    <w:rsid w:val="00C71E43"/>
    <w:rsid w:val="00C72881"/>
    <w:rsid w:val="00C73AB3"/>
    <w:rsid w:val="00C74497"/>
    <w:rsid w:val="00C75191"/>
    <w:rsid w:val="00C75910"/>
    <w:rsid w:val="00C75E6C"/>
    <w:rsid w:val="00C7696B"/>
    <w:rsid w:val="00C76B08"/>
    <w:rsid w:val="00C7720A"/>
    <w:rsid w:val="00C7722E"/>
    <w:rsid w:val="00C77BDC"/>
    <w:rsid w:val="00C77DF9"/>
    <w:rsid w:val="00C8019B"/>
    <w:rsid w:val="00C80892"/>
    <w:rsid w:val="00C80904"/>
    <w:rsid w:val="00C814BA"/>
    <w:rsid w:val="00C81682"/>
    <w:rsid w:val="00C8248D"/>
    <w:rsid w:val="00C82A37"/>
    <w:rsid w:val="00C849DC"/>
    <w:rsid w:val="00C84BEE"/>
    <w:rsid w:val="00C85093"/>
    <w:rsid w:val="00C867C3"/>
    <w:rsid w:val="00C873D9"/>
    <w:rsid w:val="00C903D2"/>
    <w:rsid w:val="00C90F10"/>
    <w:rsid w:val="00C938EC"/>
    <w:rsid w:val="00C93B6F"/>
    <w:rsid w:val="00C94A69"/>
    <w:rsid w:val="00C9576D"/>
    <w:rsid w:val="00C957B6"/>
    <w:rsid w:val="00C95B16"/>
    <w:rsid w:val="00C961C3"/>
    <w:rsid w:val="00C96684"/>
    <w:rsid w:val="00C96A6F"/>
    <w:rsid w:val="00C96FD0"/>
    <w:rsid w:val="00C972C5"/>
    <w:rsid w:val="00CA0337"/>
    <w:rsid w:val="00CA0823"/>
    <w:rsid w:val="00CA23A8"/>
    <w:rsid w:val="00CA2DF0"/>
    <w:rsid w:val="00CA3A38"/>
    <w:rsid w:val="00CA467A"/>
    <w:rsid w:val="00CA46D9"/>
    <w:rsid w:val="00CA473C"/>
    <w:rsid w:val="00CA5C85"/>
    <w:rsid w:val="00CA6433"/>
    <w:rsid w:val="00CA6F49"/>
    <w:rsid w:val="00CA752A"/>
    <w:rsid w:val="00CB003D"/>
    <w:rsid w:val="00CB066D"/>
    <w:rsid w:val="00CB0E79"/>
    <w:rsid w:val="00CB110F"/>
    <w:rsid w:val="00CB22B1"/>
    <w:rsid w:val="00CB2335"/>
    <w:rsid w:val="00CB28D1"/>
    <w:rsid w:val="00CB2C90"/>
    <w:rsid w:val="00CB3619"/>
    <w:rsid w:val="00CB3788"/>
    <w:rsid w:val="00CB4902"/>
    <w:rsid w:val="00CB566F"/>
    <w:rsid w:val="00CB58B3"/>
    <w:rsid w:val="00CB65B0"/>
    <w:rsid w:val="00CB67F0"/>
    <w:rsid w:val="00CB68B5"/>
    <w:rsid w:val="00CB6A0A"/>
    <w:rsid w:val="00CB6C72"/>
    <w:rsid w:val="00CC01C6"/>
    <w:rsid w:val="00CC0244"/>
    <w:rsid w:val="00CC24BD"/>
    <w:rsid w:val="00CC25F6"/>
    <w:rsid w:val="00CC26CB"/>
    <w:rsid w:val="00CC2F7B"/>
    <w:rsid w:val="00CC385C"/>
    <w:rsid w:val="00CC3B64"/>
    <w:rsid w:val="00CC44EE"/>
    <w:rsid w:val="00CC479D"/>
    <w:rsid w:val="00CC4845"/>
    <w:rsid w:val="00CC4990"/>
    <w:rsid w:val="00CC5325"/>
    <w:rsid w:val="00CC54FD"/>
    <w:rsid w:val="00CC60E8"/>
    <w:rsid w:val="00CC627D"/>
    <w:rsid w:val="00CC6CF9"/>
    <w:rsid w:val="00CC72C5"/>
    <w:rsid w:val="00CC78C4"/>
    <w:rsid w:val="00CD1183"/>
    <w:rsid w:val="00CD13E8"/>
    <w:rsid w:val="00CD1B6A"/>
    <w:rsid w:val="00CD2906"/>
    <w:rsid w:val="00CD2E8F"/>
    <w:rsid w:val="00CD4432"/>
    <w:rsid w:val="00CD5982"/>
    <w:rsid w:val="00CD646F"/>
    <w:rsid w:val="00CD74EC"/>
    <w:rsid w:val="00CD761E"/>
    <w:rsid w:val="00CD778C"/>
    <w:rsid w:val="00CD77FE"/>
    <w:rsid w:val="00CE47B6"/>
    <w:rsid w:val="00CE5D57"/>
    <w:rsid w:val="00CE7CF8"/>
    <w:rsid w:val="00CF0277"/>
    <w:rsid w:val="00CF037D"/>
    <w:rsid w:val="00CF2EFB"/>
    <w:rsid w:val="00CF3B70"/>
    <w:rsid w:val="00CF42C0"/>
    <w:rsid w:val="00CF473C"/>
    <w:rsid w:val="00CF50E5"/>
    <w:rsid w:val="00CF5178"/>
    <w:rsid w:val="00CF565F"/>
    <w:rsid w:val="00CF56D8"/>
    <w:rsid w:val="00CF5F28"/>
    <w:rsid w:val="00CF6051"/>
    <w:rsid w:val="00CF6927"/>
    <w:rsid w:val="00D0027D"/>
    <w:rsid w:val="00D00E10"/>
    <w:rsid w:val="00D01C0A"/>
    <w:rsid w:val="00D02798"/>
    <w:rsid w:val="00D037E0"/>
    <w:rsid w:val="00D045AB"/>
    <w:rsid w:val="00D045D2"/>
    <w:rsid w:val="00D04DD8"/>
    <w:rsid w:val="00D050CA"/>
    <w:rsid w:val="00D05DA4"/>
    <w:rsid w:val="00D05E78"/>
    <w:rsid w:val="00D0741B"/>
    <w:rsid w:val="00D102D4"/>
    <w:rsid w:val="00D1130C"/>
    <w:rsid w:val="00D11C1D"/>
    <w:rsid w:val="00D11DC6"/>
    <w:rsid w:val="00D12384"/>
    <w:rsid w:val="00D12953"/>
    <w:rsid w:val="00D13355"/>
    <w:rsid w:val="00D149C8"/>
    <w:rsid w:val="00D14AE5"/>
    <w:rsid w:val="00D153C1"/>
    <w:rsid w:val="00D16100"/>
    <w:rsid w:val="00D1657F"/>
    <w:rsid w:val="00D17380"/>
    <w:rsid w:val="00D178A3"/>
    <w:rsid w:val="00D17CB4"/>
    <w:rsid w:val="00D17E6D"/>
    <w:rsid w:val="00D202CE"/>
    <w:rsid w:val="00D203E9"/>
    <w:rsid w:val="00D20A1A"/>
    <w:rsid w:val="00D20FE9"/>
    <w:rsid w:val="00D212D4"/>
    <w:rsid w:val="00D21663"/>
    <w:rsid w:val="00D22742"/>
    <w:rsid w:val="00D22F1D"/>
    <w:rsid w:val="00D235C6"/>
    <w:rsid w:val="00D236F8"/>
    <w:rsid w:val="00D23FAD"/>
    <w:rsid w:val="00D23FC9"/>
    <w:rsid w:val="00D24163"/>
    <w:rsid w:val="00D24BDB"/>
    <w:rsid w:val="00D254E0"/>
    <w:rsid w:val="00D25618"/>
    <w:rsid w:val="00D257BB"/>
    <w:rsid w:val="00D25B6D"/>
    <w:rsid w:val="00D25CB9"/>
    <w:rsid w:val="00D25DC2"/>
    <w:rsid w:val="00D270CB"/>
    <w:rsid w:val="00D2732B"/>
    <w:rsid w:val="00D27741"/>
    <w:rsid w:val="00D27D30"/>
    <w:rsid w:val="00D305EC"/>
    <w:rsid w:val="00D30D81"/>
    <w:rsid w:val="00D30FDA"/>
    <w:rsid w:val="00D32A90"/>
    <w:rsid w:val="00D334FE"/>
    <w:rsid w:val="00D3360B"/>
    <w:rsid w:val="00D339CF"/>
    <w:rsid w:val="00D344BD"/>
    <w:rsid w:val="00D3479D"/>
    <w:rsid w:val="00D34B16"/>
    <w:rsid w:val="00D350CC"/>
    <w:rsid w:val="00D358A0"/>
    <w:rsid w:val="00D35B85"/>
    <w:rsid w:val="00D408EA"/>
    <w:rsid w:val="00D40A0C"/>
    <w:rsid w:val="00D40ECC"/>
    <w:rsid w:val="00D421F0"/>
    <w:rsid w:val="00D44613"/>
    <w:rsid w:val="00D4463A"/>
    <w:rsid w:val="00D453EB"/>
    <w:rsid w:val="00D459B7"/>
    <w:rsid w:val="00D45AEF"/>
    <w:rsid w:val="00D4637C"/>
    <w:rsid w:val="00D46700"/>
    <w:rsid w:val="00D4671F"/>
    <w:rsid w:val="00D468AC"/>
    <w:rsid w:val="00D506A7"/>
    <w:rsid w:val="00D51590"/>
    <w:rsid w:val="00D52542"/>
    <w:rsid w:val="00D5329B"/>
    <w:rsid w:val="00D539C8"/>
    <w:rsid w:val="00D53DE5"/>
    <w:rsid w:val="00D53E60"/>
    <w:rsid w:val="00D5485E"/>
    <w:rsid w:val="00D55902"/>
    <w:rsid w:val="00D56672"/>
    <w:rsid w:val="00D56DE3"/>
    <w:rsid w:val="00D570BC"/>
    <w:rsid w:val="00D573EA"/>
    <w:rsid w:val="00D579A6"/>
    <w:rsid w:val="00D57C00"/>
    <w:rsid w:val="00D60995"/>
    <w:rsid w:val="00D60D2B"/>
    <w:rsid w:val="00D60F2C"/>
    <w:rsid w:val="00D616F3"/>
    <w:rsid w:val="00D61A22"/>
    <w:rsid w:val="00D61D9E"/>
    <w:rsid w:val="00D6300D"/>
    <w:rsid w:val="00D631D2"/>
    <w:rsid w:val="00D637D9"/>
    <w:rsid w:val="00D65126"/>
    <w:rsid w:val="00D65658"/>
    <w:rsid w:val="00D657C3"/>
    <w:rsid w:val="00D65906"/>
    <w:rsid w:val="00D66DC1"/>
    <w:rsid w:val="00D66EF0"/>
    <w:rsid w:val="00D66F25"/>
    <w:rsid w:val="00D66FC5"/>
    <w:rsid w:val="00D6741D"/>
    <w:rsid w:val="00D677C4"/>
    <w:rsid w:val="00D679C2"/>
    <w:rsid w:val="00D7095B"/>
    <w:rsid w:val="00D720BD"/>
    <w:rsid w:val="00D720F1"/>
    <w:rsid w:val="00D7252F"/>
    <w:rsid w:val="00D743C8"/>
    <w:rsid w:val="00D745C7"/>
    <w:rsid w:val="00D75C7B"/>
    <w:rsid w:val="00D76F19"/>
    <w:rsid w:val="00D774C7"/>
    <w:rsid w:val="00D77840"/>
    <w:rsid w:val="00D77EFF"/>
    <w:rsid w:val="00D8088C"/>
    <w:rsid w:val="00D814E9"/>
    <w:rsid w:val="00D8167D"/>
    <w:rsid w:val="00D81873"/>
    <w:rsid w:val="00D81B81"/>
    <w:rsid w:val="00D81CC4"/>
    <w:rsid w:val="00D82B6C"/>
    <w:rsid w:val="00D82C72"/>
    <w:rsid w:val="00D82EE9"/>
    <w:rsid w:val="00D83A2E"/>
    <w:rsid w:val="00D8453D"/>
    <w:rsid w:val="00D84D5F"/>
    <w:rsid w:val="00D84F3B"/>
    <w:rsid w:val="00D854A2"/>
    <w:rsid w:val="00D85BA2"/>
    <w:rsid w:val="00D85DC3"/>
    <w:rsid w:val="00D8604D"/>
    <w:rsid w:val="00D86721"/>
    <w:rsid w:val="00D867F6"/>
    <w:rsid w:val="00D86957"/>
    <w:rsid w:val="00D86A93"/>
    <w:rsid w:val="00D86AD5"/>
    <w:rsid w:val="00D86C5D"/>
    <w:rsid w:val="00D878CF"/>
    <w:rsid w:val="00D905A3"/>
    <w:rsid w:val="00D90A72"/>
    <w:rsid w:val="00D90D40"/>
    <w:rsid w:val="00D91111"/>
    <w:rsid w:val="00D917C7"/>
    <w:rsid w:val="00D919A1"/>
    <w:rsid w:val="00D91CA2"/>
    <w:rsid w:val="00D92719"/>
    <w:rsid w:val="00D92844"/>
    <w:rsid w:val="00D92A52"/>
    <w:rsid w:val="00D92A5C"/>
    <w:rsid w:val="00D92CB8"/>
    <w:rsid w:val="00D92D7A"/>
    <w:rsid w:val="00D93440"/>
    <w:rsid w:val="00D93789"/>
    <w:rsid w:val="00D94248"/>
    <w:rsid w:val="00D95300"/>
    <w:rsid w:val="00D9555F"/>
    <w:rsid w:val="00D95C9B"/>
    <w:rsid w:val="00D95D9F"/>
    <w:rsid w:val="00D962ED"/>
    <w:rsid w:val="00D96631"/>
    <w:rsid w:val="00D96B28"/>
    <w:rsid w:val="00D96D87"/>
    <w:rsid w:val="00D9716B"/>
    <w:rsid w:val="00DA00FE"/>
    <w:rsid w:val="00DA0AB4"/>
    <w:rsid w:val="00DA0D97"/>
    <w:rsid w:val="00DA10B6"/>
    <w:rsid w:val="00DA12F4"/>
    <w:rsid w:val="00DA249E"/>
    <w:rsid w:val="00DA2A68"/>
    <w:rsid w:val="00DA2AFF"/>
    <w:rsid w:val="00DA2B04"/>
    <w:rsid w:val="00DA2F07"/>
    <w:rsid w:val="00DA3563"/>
    <w:rsid w:val="00DA3752"/>
    <w:rsid w:val="00DA53C9"/>
    <w:rsid w:val="00DA5DB6"/>
    <w:rsid w:val="00DA5DC0"/>
    <w:rsid w:val="00DA62C1"/>
    <w:rsid w:val="00DA7691"/>
    <w:rsid w:val="00DB0054"/>
    <w:rsid w:val="00DB05AE"/>
    <w:rsid w:val="00DB0BE6"/>
    <w:rsid w:val="00DB1105"/>
    <w:rsid w:val="00DB15A8"/>
    <w:rsid w:val="00DB1681"/>
    <w:rsid w:val="00DB1D0E"/>
    <w:rsid w:val="00DB2561"/>
    <w:rsid w:val="00DB2595"/>
    <w:rsid w:val="00DB27E4"/>
    <w:rsid w:val="00DB5F9C"/>
    <w:rsid w:val="00DB645B"/>
    <w:rsid w:val="00DB65C0"/>
    <w:rsid w:val="00DB6E6B"/>
    <w:rsid w:val="00DB74B1"/>
    <w:rsid w:val="00DC031E"/>
    <w:rsid w:val="00DC144A"/>
    <w:rsid w:val="00DC181C"/>
    <w:rsid w:val="00DC2440"/>
    <w:rsid w:val="00DC2A42"/>
    <w:rsid w:val="00DC30F3"/>
    <w:rsid w:val="00DC3CF5"/>
    <w:rsid w:val="00DC40C3"/>
    <w:rsid w:val="00DC4278"/>
    <w:rsid w:val="00DC4A83"/>
    <w:rsid w:val="00DC5EC6"/>
    <w:rsid w:val="00DC6C22"/>
    <w:rsid w:val="00DC73BC"/>
    <w:rsid w:val="00DD1814"/>
    <w:rsid w:val="00DD1D70"/>
    <w:rsid w:val="00DD1F39"/>
    <w:rsid w:val="00DD2D6E"/>
    <w:rsid w:val="00DD33A0"/>
    <w:rsid w:val="00DD3AC2"/>
    <w:rsid w:val="00DD3C69"/>
    <w:rsid w:val="00DD3D9A"/>
    <w:rsid w:val="00DD5C09"/>
    <w:rsid w:val="00DD5DE2"/>
    <w:rsid w:val="00DD7653"/>
    <w:rsid w:val="00DD790D"/>
    <w:rsid w:val="00DE0A40"/>
    <w:rsid w:val="00DE15FD"/>
    <w:rsid w:val="00DE1653"/>
    <w:rsid w:val="00DE2D8D"/>
    <w:rsid w:val="00DE371F"/>
    <w:rsid w:val="00DE5A75"/>
    <w:rsid w:val="00DE60D4"/>
    <w:rsid w:val="00DE6364"/>
    <w:rsid w:val="00DE6929"/>
    <w:rsid w:val="00DE7D7D"/>
    <w:rsid w:val="00DF04C3"/>
    <w:rsid w:val="00DF06B7"/>
    <w:rsid w:val="00DF0E04"/>
    <w:rsid w:val="00DF210C"/>
    <w:rsid w:val="00DF4EB5"/>
    <w:rsid w:val="00DF53AF"/>
    <w:rsid w:val="00DF53B7"/>
    <w:rsid w:val="00DF5957"/>
    <w:rsid w:val="00DF655F"/>
    <w:rsid w:val="00DF759D"/>
    <w:rsid w:val="00DF7BAE"/>
    <w:rsid w:val="00E00910"/>
    <w:rsid w:val="00E01802"/>
    <w:rsid w:val="00E01EFB"/>
    <w:rsid w:val="00E0216B"/>
    <w:rsid w:val="00E04357"/>
    <w:rsid w:val="00E04835"/>
    <w:rsid w:val="00E04F3F"/>
    <w:rsid w:val="00E0546F"/>
    <w:rsid w:val="00E05BA4"/>
    <w:rsid w:val="00E05EE8"/>
    <w:rsid w:val="00E06CC5"/>
    <w:rsid w:val="00E06DA8"/>
    <w:rsid w:val="00E079C3"/>
    <w:rsid w:val="00E07EB2"/>
    <w:rsid w:val="00E10BC8"/>
    <w:rsid w:val="00E10CC0"/>
    <w:rsid w:val="00E112A5"/>
    <w:rsid w:val="00E1170A"/>
    <w:rsid w:val="00E12D3B"/>
    <w:rsid w:val="00E13BD4"/>
    <w:rsid w:val="00E13EE0"/>
    <w:rsid w:val="00E14BEC"/>
    <w:rsid w:val="00E15A39"/>
    <w:rsid w:val="00E15C8F"/>
    <w:rsid w:val="00E15DAA"/>
    <w:rsid w:val="00E17FC4"/>
    <w:rsid w:val="00E21A3F"/>
    <w:rsid w:val="00E21B67"/>
    <w:rsid w:val="00E222A4"/>
    <w:rsid w:val="00E22C20"/>
    <w:rsid w:val="00E22CF5"/>
    <w:rsid w:val="00E23E08"/>
    <w:rsid w:val="00E23EBF"/>
    <w:rsid w:val="00E24459"/>
    <w:rsid w:val="00E246D4"/>
    <w:rsid w:val="00E24EB2"/>
    <w:rsid w:val="00E25F5E"/>
    <w:rsid w:val="00E2648E"/>
    <w:rsid w:val="00E26F87"/>
    <w:rsid w:val="00E30017"/>
    <w:rsid w:val="00E3015C"/>
    <w:rsid w:val="00E3066D"/>
    <w:rsid w:val="00E3127B"/>
    <w:rsid w:val="00E32B75"/>
    <w:rsid w:val="00E33154"/>
    <w:rsid w:val="00E33BEE"/>
    <w:rsid w:val="00E33ECB"/>
    <w:rsid w:val="00E34364"/>
    <w:rsid w:val="00E34719"/>
    <w:rsid w:val="00E34AC2"/>
    <w:rsid w:val="00E372AE"/>
    <w:rsid w:val="00E372F7"/>
    <w:rsid w:val="00E37331"/>
    <w:rsid w:val="00E40217"/>
    <w:rsid w:val="00E40560"/>
    <w:rsid w:val="00E40A2D"/>
    <w:rsid w:val="00E42AE6"/>
    <w:rsid w:val="00E42EA1"/>
    <w:rsid w:val="00E43872"/>
    <w:rsid w:val="00E43C57"/>
    <w:rsid w:val="00E43D91"/>
    <w:rsid w:val="00E44AE9"/>
    <w:rsid w:val="00E451D7"/>
    <w:rsid w:val="00E451F3"/>
    <w:rsid w:val="00E473F1"/>
    <w:rsid w:val="00E50005"/>
    <w:rsid w:val="00E5009F"/>
    <w:rsid w:val="00E50881"/>
    <w:rsid w:val="00E50972"/>
    <w:rsid w:val="00E52193"/>
    <w:rsid w:val="00E528E8"/>
    <w:rsid w:val="00E536D9"/>
    <w:rsid w:val="00E5432C"/>
    <w:rsid w:val="00E54BB4"/>
    <w:rsid w:val="00E54D53"/>
    <w:rsid w:val="00E554E8"/>
    <w:rsid w:val="00E55FA0"/>
    <w:rsid w:val="00E57523"/>
    <w:rsid w:val="00E57CCC"/>
    <w:rsid w:val="00E61894"/>
    <w:rsid w:val="00E62214"/>
    <w:rsid w:val="00E6245C"/>
    <w:rsid w:val="00E62C34"/>
    <w:rsid w:val="00E62D90"/>
    <w:rsid w:val="00E63140"/>
    <w:rsid w:val="00E633DC"/>
    <w:rsid w:val="00E63548"/>
    <w:rsid w:val="00E63749"/>
    <w:rsid w:val="00E63AE1"/>
    <w:rsid w:val="00E64BA0"/>
    <w:rsid w:val="00E6543D"/>
    <w:rsid w:val="00E655E2"/>
    <w:rsid w:val="00E65CD8"/>
    <w:rsid w:val="00E66603"/>
    <w:rsid w:val="00E66618"/>
    <w:rsid w:val="00E711EA"/>
    <w:rsid w:val="00E71387"/>
    <w:rsid w:val="00E715D0"/>
    <w:rsid w:val="00E7198D"/>
    <w:rsid w:val="00E71F7F"/>
    <w:rsid w:val="00E72357"/>
    <w:rsid w:val="00E733BD"/>
    <w:rsid w:val="00E735A9"/>
    <w:rsid w:val="00E735FE"/>
    <w:rsid w:val="00E73ACF"/>
    <w:rsid w:val="00E73E12"/>
    <w:rsid w:val="00E7460C"/>
    <w:rsid w:val="00E74ECC"/>
    <w:rsid w:val="00E7627E"/>
    <w:rsid w:val="00E76D8A"/>
    <w:rsid w:val="00E776F0"/>
    <w:rsid w:val="00E80073"/>
    <w:rsid w:val="00E80640"/>
    <w:rsid w:val="00E80C02"/>
    <w:rsid w:val="00E8157E"/>
    <w:rsid w:val="00E815FC"/>
    <w:rsid w:val="00E81736"/>
    <w:rsid w:val="00E81ED7"/>
    <w:rsid w:val="00E82586"/>
    <w:rsid w:val="00E826C4"/>
    <w:rsid w:val="00E82F1F"/>
    <w:rsid w:val="00E83A20"/>
    <w:rsid w:val="00E84C24"/>
    <w:rsid w:val="00E84C52"/>
    <w:rsid w:val="00E84D69"/>
    <w:rsid w:val="00E850C3"/>
    <w:rsid w:val="00E85333"/>
    <w:rsid w:val="00E85C7C"/>
    <w:rsid w:val="00E86488"/>
    <w:rsid w:val="00E86EA4"/>
    <w:rsid w:val="00E90228"/>
    <w:rsid w:val="00E907F4"/>
    <w:rsid w:val="00E9145C"/>
    <w:rsid w:val="00E93827"/>
    <w:rsid w:val="00E95BB8"/>
    <w:rsid w:val="00E95F4E"/>
    <w:rsid w:val="00E96556"/>
    <w:rsid w:val="00E96E5D"/>
    <w:rsid w:val="00E9798A"/>
    <w:rsid w:val="00E979F7"/>
    <w:rsid w:val="00EA0665"/>
    <w:rsid w:val="00EA1477"/>
    <w:rsid w:val="00EA1ACA"/>
    <w:rsid w:val="00EA1D58"/>
    <w:rsid w:val="00EA3000"/>
    <w:rsid w:val="00EA3179"/>
    <w:rsid w:val="00EA3185"/>
    <w:rsid w:val="00EA3725"/>
    <w:rsid w:val="00EA3936"/>
    <w:rsid w:val="00EA3AAF"/>
    <w:rsid w:val="00EA3F05"/>
    <w:rsid w:val="00EA513F"/>
    <w:rsid w:val="00EA5961"/>
    <w:rsid w:val="00EA5CD1"/>
    <w:rsid w:val="00EA5E2A"/>
    <w:rsid w:val="00EA6D84"/>
    <w:rsid w:val="00EA7710"/>
    <w:rsid w:val="00EA7D38"/>
    <w:rsid w:val="00EB0731"/>
    <w:rsid w:val="00EB0E62"/>
    <w:rsid w:val="00EB1015"/>
    <w:rsid w:val="00EB19BD"/>
    <w:rsid w:val="00EB2020"/>
    <w:rsid w:val="00EB27D5"/>
    <w:rsid w:val="00EB28E9"/>
    <w:rsid w:val="00EB29BC"/>
    <w:rsid w:val="00EB2E09"/>
    <w:rsid w:val="00EB336B"/>
    <w:rsid w:val="00EB3653"/>
    <w:rsid w:val="00EB45FA"/>
    <w:rsid w:val="00EB578A"/>
    <w:rsid w:val="00EB5D47"/>
    <w:rsid w:val="00EB607F"/>
    <w:rsid w:val="00EB6AC8"/>
    <w:rsid w:val="00EB6AFD"/>
    <w:rsid w:val="00EB6C7D"/>
    <w:rsid w:val="00EB70E5"/>
    <w:rsid w:val="00EB7AC2"/>
    <w:rsid w:val="00EB7C8E"/>
    <w:rsid w:val="00EC02BE"/>
    <w:rsid w:val="00EC02E7"/>
    <w:rsid w:val="00EC146E"/>
    <w:rsid w:val="00EC1B1A"/>
    <w:rsid w:val="00EC35DE"/>
    <w:rsid w:val="00EC53E6"/>
    <w:rsid w:val="00EC543A"/>
    <w:rsid w:val="00EC5975"/>
    <w:rsid w:val="00EC59C7"/>
    <w:rsid w:val="00EC5CEA"/>
    <w:rsid w:val="00EC6130"/>
    <w:rsid w:val="00EC6766"/>
    <w:rsid w:val="00EC6B27"/>
    <w:rsid w:val="00EC6BF6"/>
    <w:rsid w:val="00EC7AE3"/>
    <w:rsid w:val="00EC7E08"/>
    <w:rsid w:val="00ED009A"/>
    <w:rsid w:val="00ED0F4E"/>
    <w:rsid w:val="00ED129B"/>
    <w:rsid w:val="00ED1FF7"/>
    <w:rsid w:val="00ED2563"/>
    <w:rsid w:val="00ED2A4C"/>
    <w:rsid w:val="00ED39A8"/>
    <w:rsid w:val="00ED4371"/>
    <w:rsid w:val="00ED4EF1"/>
    <w:rsid w:val="00ED683E"/>
    <w:rsid w:val="00ED6AAB"/>
    <w:rsid w:val="00ED6DFC"/>
    <w:rsid w:val="00ED75CF"/>
    <w:rsid w:val="00ED762B"/>
    <w:rsid w:val="00ED7FAA"/>
    <w:rsid w:val="00EE0614"/>
    <w:rsid w:val="00EE067C"/>
    <w:rsid w:val="00EE1275"/>
    <w:rsid w:val="00EE1774"/>
    <w:rsid w:val="00EE1D7D"/>
    <w:rsid w:val="00EE2031"/>
    <w:rsid w:val="00EE2D3E"/>
    <w:rsid w:val="00EE35DE"/>
    <w:rsid w:val="00EE4924"/>
    <w:rsid w:val="00EE50AF"/>
    <w:rsid w:val="00EE715E"/>
    <w:rsid w:val="00EE754A"/>
    <w:rsid w:val="00EE79B0"/>
    <w:rsid w:val="00EE7A5E"/>
    <w:rsid w:val="00EF039F"/>
    <w:rsid w:val="00EF0757"/>
    <w:rsid w:val="00EF11CE"/>
    <w:rsid w:val="00EF13FE"/>
    <w:rsid w:val="00EF2143"/>
    <w:rsid w:val="00EF256E"/>
    <w:rsid w:val="00EF3159"/>
    <w:rsid w:val="00EF384D"/>
    <w:rsid w:val="00EF3946"/>
    <w:rsid w:val="00EF4528"/>
    <w:rsid w:val="00EF4569"/>
    <w:rsid w:val="00EF47C0"/>
    <w:rsid w:val="00EF4B37"/>
    <w:rsid w:val="00EF4F18"/>
    <w:rsid w:val="00EF4F51"/>
    <w:rsid w:val="00EF60F3"/>
    <w:rsid w:val="00EF6960"/>
    <w:rsid w:val="00EF74D6"/>
    <w:rsid w:val="00EF7D4C"/>
    <w:rsid w:val="00EF7E66"/>
    <w:rsid w:val="00F0088A"/>
    <w:rsid w:val="00F023D5"/>
    <w:rsid w:val="00F02E7D"/>
    <w:rsid w:val="00F02FEC"/>
    <w:rsid w:val="00F03706"/>
    <w:rsid w:val="00F0492C"/>
    <w:rsid w:val="00F062AC"/>
    <w:rsid w:val="00F06404"/>
    <w:rsid w:val="00F0650B"/>
    <w:rsid w:val="00F068A0"/>
    <w:rsid w:val="00F070A4"/>
    <w:rsid w:val="00F0745D"/>
    <w:rsid w:val="00F076DB"/>
    <w:rsid w:val="00F10C63"/>
    <w:rsid w:val="00F112AD"/>
    <w:rsid w:val="00F115CA"/>
    <w:rsid w:val="00F121CB"/>
    <w:rsid w:val="00F12787"/>
    <w:rsid w:val="00F136A0"/>
    <w:rsid w:val="00F152AB"/>
    <w:rsid w:val="00F15BE9"/>
    <w:rsid w:val="00F166FC"/>
    <w:rsid w:val="00F17101"/>
    <w:rsid w:val="00F175F6"/>
    <w:rsid w:val="00F177DC"/>
    <w:rsid w:val="00F17AC1"/>
    <w:rsid w:val="00F2092E"/>
    <w:rsid w:val="00F20A25"/>
    <w:rsid w:val="00F20D6E"/>
    <w:rsid w:val="00F21433"/>
    <w:rsid w:val="00F225F8"/>
    <w:rsid w:val="00F226E6"/>
    <w:rsid w:val="00F22810"/>
    <w:rsid w:val="00F23521"/>
    <w:rsid w:val="00F2359F"/>
    <w:rsid w:val="00F25573"/>
    <w:rsid w:val="00F25733"/>
    <w:rsid w:val="00F25A5B"/>
    <w:rsid w:val="00F25E05"/>
    <w:rsid w:val="00F263C6"/>
    <w:rsid w:val="00F26D1B"/>
    <w:rsid w:val="00F26F08"/>
    <w:rsid w:val="00F2710C"/>
    <w:rsid w:val="00F274F9"/>
    <w:rsid w:val="00F277BA"/>
    <w:rsid w:val="00F301B4"/>
    <w:rsid w:val="00F30D23"/>
    <w:rsid w:val="00F314CA"/>
    <w:rsid w:val="00F31F31"/>
    <w:rsid w:val="00F335E8"/>
    <w:rsid w:val="00F34F34"/>
    <w:rsid w:val="00F35350"/>
    <w:rsid w:val="00F35720"/>
    <w:rsid w:val="00F35D14"/>
    <w:rsid w:val="00F35E37"/>
    <w:rsid w:val="00F36CF6"/>
    <w:rsid w:val="00F37737"/>
    <w:rsid w:val="00F4022D"/>
    <w:rsid w:val="00F40BDA"/>
    <w:rsid w:val="00F419C8"/>
    <w:rsid w:val="00F41C30"/>
    <w:rsid w:val="00F4235A"/>
    <w:rsid w:val="00F42F73"/>
    <w:rsid w:val="00F4352C"/>
    <w:rsid w:val="00F435DD"/>
    <w:rsid w:val="00F43806"/>
    <w:rsid w:val="00F44523"/>
    <w:rsid w:val="00F4480D"/>
    <w:rsid w:val="00F44A54"/>
    <w:rsid w:val="00F469AF"/>
    <w:rsid w:val="00F46DC9"/>
    <w:rsid w:val="00F47051"/>
    <w:rsid w:val="00F47DFA"/>
    <w:rsid w:val="00F5078F"/>
    <w:rsid w:val="00F56757"/>
    <w:rsid w:val="00F602BE"/>
    <w:rsid w:val="00F61083"/>
    <w:rsid w:val="00F6156A"/>
    <w:rsid w:val="00F61830"/>
    <w:rsid w:val="00F61D5C"/>
    <w:rsid w:val="00F61F2B"/>
    <w:rsid w:val="00F632F0"/>
    <w:rsid w:val="00F6359C"/>
    <w:rsid w:val="00F6508F"/>
    <w:rsid w:val="00F650C6"/>
    <w:rsid w:val="00F663AA"/>
    <w:rsid w:val="00F6654F"/>
    <w:rsid w:val="00F66D3C"/>
    <w:rsid w:val="00F670C5"/>
    <w:rsid w:val="00F671E1"/>
    <w:rsid w:val="00F672F3"/>
    <w:rsid w:val="00F67E52"/>
    <w:rsid w:val="00F70280"/>
    <w:rsid w:val="00F717A9"/>
    <w:rsid w:val="00F717D7"/>
    <w:rsid w:val="00F72893"/>
    <w:rsid w:val="00F72F75"/>
    <w:rsid w:val="00F744CB"/>
    <w:rsid w:val="00F74885"/>
    <w:rsid w:val="00F75D7F"/>
    <w:rsid w:val="00F77215"/>
    <w:rsid w:val="00F776C9"/>
    <w:rsid w:val="00F77C20"/>
    <w:rsid w:val="00F77DAA"/>
    <w:rsid w:val="00F808C8"/>
    <w:rsid w:val="00F81447"/>
    <w:rsid w:val="00F822A5"/>
    <w:rsid w:val="00F82F71"/>
    <w:rsid w:val="00F8319D"/>
    <w:rsid w:val="00F83BF7"/>
    <w:rsid w:val="00F852AC"/>
    <w:rsid w:val="00F85FAF"/>
    <w:rsid w:val="00F8670F"/>
    <w:rsid w:val="00F86F97"/>
    <w:rsid w:val="00F87873"/>
    <w:rsid w:val="00F8797F"/>
    <w:rsid w:val="00F90368"/>
    <w:rsid w:val="00F90801"/>
    <w:rsid w:val="00F90CEE"/>
    <w:rsid w:val="00F90FD1"/>
    <w:rsid w:val="00F91066"/>
    <w:rsid w:val="00F918D6"/>
    <w:rsid w:val="00F919BB"/>
    <w:rsid w:val="00F928A7"/>
    <w:rsid w:val="00F92EBB"/>
    <w:rsid w:val="00F930EF"/>
    <w:rsid w:val="00F93FC4"/>
    <w:rsid w:val="00F94832"/>
    <w:rsid w:val="00F948B1"/>
    <w:rsid w:val="00F94D42"/>
    <w:rsid w:val="00F951A8"/>
    <w:rsid w:val="00F95EBE"/>
    <w:rsid w:val="00F973B8"/>
    <w:rsid w:val="00FA074C"/>
    <w:rsid w:val="00FA0BE6"/>
    <w:rsid w:val="00FA0C0F"/>
    <w:rsid w:val="00FA1715"/>
    <w:rsid w:val="00FA189F"/>
    <w:rsid w:val="00FA2EB3"/>
    <w:rsid w:val="00FA33EA"/>
    <w:rsid w:val="00FA3B31"/>
    <w:rsid w:val="00FA4E6A"/>
    <w:rsid w:val="00FA6021"/>
    <w:rsid w:val="00FA6785"/>
    <w:rsid w:val="00FA6E71"/>
    <w:rsid w:val="00FA7041"/>
    <w:rsid w:val="00FA74B4"/>
    <w:rsid w:val="00FB1AF5"/>
    <w:rsid w:val="00FB1F32"/>
    <w:rsid w:val="00FB38C1"/>
    <w:rsid w:val="00FB42BB"/>
    <w:rsid w:val="00FB4749"/>
    <w:rsid w:val="00FB496B"/>
    <w:rsid w:val="00FB4EEC"/>
    <w:rsid w:val="00FB50B9"/>
    <w:rsid w:val="00FB518D"/>
    <w:rsid w:val="00FB5305"/>
    <w:rsid w:val="00FB5539"/>
    <w:rsid w:val="00FB55B0"/>
    <w:rsid w:val="00FB580A"/>
    <w:rsid w:val="00FB59A2"/>
    <w:rsid w:val="00FB5CDA"/>
    <w:rsid w:val="00FB5D0B"/>
    <w:rsid w:val="00FB6219"/>
    <w:rsid w:val="00FB6344"/>
    <w:rsid w:val="00FB67F7"/>
    <w:rsid w:val="00FC01E2"/>
    <w:rsid w:val="00FC02BF"/>
    <w:rsid w:val="00FC0BB0"/>
    <w:rsid w:val="00FC1594"/>
    <w:rsid w:val="00FC18C6"/>
    <w:rsid w:val="00FC2AA2"/>
    <w:rsid w:val="00FC2BFC"/>
    <w:rsid w:val="00FC2FEF"/>
    <w:rsid w:val="00FC44FC"/>
    <w:rsid w:val="00FC4E0A"/>
    <w:rsid w:val="00FC507A"/>
    <w:rsid w:val="00FC5721"/>
    <w:rsid w:val="00FC5786"/>
    <w:rsid w:val="00FC7057"/>
    <w:rsid w:val="00FC70C1"/>
    <w:rsid w:val="00FC7C5E"/>
    <w:rsid w:val="00FD0107"/>
    <w:rsid w:val="00FD0552"/>
    <w:rsid w:val="00FD0A0B"/>
    <w:rsid w:val="00FD0AA0"/>
    <w:rsid w:val="00FD0C2B"/>
    <w:rsid w:val="00FD1AC8"/>
    <w:rsid w:val="00FD1F7B"/>
    <w:rsid w:val="00FD1FFB"/>
    <w:rsid w:val="00FD2A36"/>
    <w:rsid w:val="00FD2D70"/>
    <w:rsid w:val="00FD39BC"/>
    <w:rsid w:val="00FD45B6"/>
    <w:rsid w:val="00FD5B9A"/>
    <w:rsid w:val="00FD5BAB"/>
    <w:rsid w:val="00FD6621"/>
    <w:rsid w:val="00FD6F48"/>
    <w:rsid w:val="00FD7256"/>
    <w:rsid w:val="00FE058D"/>
    <w:rsid w:val="00FE05FB"/>
    <w:rsid w:val="00FE2FFD"/>
    <w:rsid w:val="00FE369C"/>
    <w:rsid w:val="00FE415C"/>
    <w:rsid w:val="00FE45FA"/>
    <w:rsid w:val="00FE477F"/>
    <w:rsid w:val="00FE4CEE"/>
    <w:rsid w:val="00FE53AC"/>
    <w:rsid w:val="00FE57B6"/>
    <w:rsid w:val="00FE675A"/>
    <w:rsid w:val="00FE6F80"/>
    <w:rsid w:val="00FE78F3"/>
    <w:rsid w:val="00FF0141"/>
    <w:rsid w:val="00FF1535"/>
    <w:rsid w:val="00FF309C"/>
    <w:rsid w:val="00FF3DCD"/>
    <w:rsid w:val="00FF4AD0"/>
    <w:rsid w:val="00FF51E9"/>
    <w:rsid w:val="00FF5849"/>
    <w:rsid w:val="00FF58D1"/>
    <w:rsid w:val="00FF5CDC"/>
    <w:rsid w:val="00FF66B1"/>
    <w:rsid w:val="00FF6FAA"/>
    <w:rsid w:val="00FF771D"/>
    <w:rsid w:val="00FF77B0"/>
    <w:rsid w:val="015E0632"/>
    <w:rsid w:val="01C35271"/>
    <w:rsid w:val="0233386D"/>
    <w:rsid w:val="02511830"/>
    <w:rsid w:val="03341722"/>
    <w:rsid w:val="039A4DF7"/>
    <w:rsid w:val="04010530"/>
    <w:rsid w:val="04504BAA"/>
    <w:rsid w:val="046E1FF1"/>
    <w:rsid w:val="04A465CA"/>
    <w:rsid w:val="052971A9"/>
    <w:rsid w:val="05A625A8"/>
    <w:rsid w:val="05AF3B52"/>
    <w:rsid w:val="05F23A3F"/>
    <w:rsid w:val="062E0F1B"/>
    <w:rsid w:val="068A7901"/>
    <w:rsid w:val="068B011B"/>
    <w:rsid w:val="0701218C"/>
    <w:rsid w:val="08000695"/>
    <w:rsid w:val="09673E3C"/>
    <w:rsid w:val="0A8F788E"/>
    <w:rsid w:val="0BFE1539"/>
    <w:rsid w:val="0C3628D7"/>
    <w:rsid w:val="0D386468"/>
    <w:rsid w:val="0D6E6CE6"/>
    <w:rsid w:val="0E06452B"/>
    <w:rsid w:val="0E6F3E7F"/>
    <w:rsid w:val="0E87566C"/>
    <w:rsid w:val="0EE76E01"/>
    <w:rsid w:val="0F16079E"/>
    <w:rsid w:val="0FF10C12"/>
    <w:rsid w:val="10230F9F"/>
    <w:rsid w:val="10373BFD"/>
    <w:rsid w:val="111B15B3"/>
    <w:rsid w:val="11FF551A"/>
    <w:rsid w:val="12004308"/>
    <w:rsid w:val="12187FE5"/>
    <w:rsid w:val="125A3535"/>
    <w:rsid w:val="12A52565"/>
    <w:rsid w:val="12CC61CB"/>
    <w:rsid w:val="12F2507E"/>
    <w:rsid w:val="12F4314A"/>
    <w:rsid w:val="13CF39F0"/>
    <w:rsid w:val="152534E9"/>
    <w:rsid w:val="18433A70"/>
    <w:rsid w:val="18695DE3"/>
    <w:rsid w:val="195F062F"/>
    <w:rsid w:val="1A1C38C1"/>
    <w:rsid w:val="1A841CC0"/>
    <w:rsid w:val="1A932AD1"/>
    <w:rsid w:val="1ABF7F3C"/>
    <w:rsid w:val="1ADF74F2"/>
    <w:rsid w:val="1D0E6F59"/>
    <w:rsid w:val="1DA85478"/>
    <w:rsid w:val="1DD3548B"/>
    <w:rsid w:val="1DED21D8"/>
    <w:rsid w:val="1F0E3DA5"/>
    <w:rsid w:val="1F7F74E9"/>
    <w:rsid w:val="1FB2006F"/>
    <w:rsid w:val="204F6193"/>
    <w:rsid w:val="20CE49AC"/>
    <w:rsid w:val="21352D06"/>
    <w:rsid w:val="217F21D3"/>
    <w:rsid w:val="21B42FD1"/>
    <w:rsid w:val="21C61BB0"/>
    <w:rsid w:val="21ED35E0"/>
    <w:rsid w:val="22C35EAF"/>
    <w:rsid w:val="22F75C0D"/>
    <w:rsid w:val="230C5CE8"/>
    <w:rsid w:val="2432177F"/>
    <w:rsid w:val="245060A9"/>
    <w:rsid w:val="24C20D54"/>
    <w:rsid w:val="25114177"/>
    <w:rsid w:val="25C96113"/>
    <w:rsid w:val="26CC5F32"/>
    <w:rsid w:val="271D5F0A"/>
    <w:rsid w:val="276C144B"/>
    <w:rsid w:val="287D3B77"/>
    <w:rsid w:val="290F7096"/>
    <w:rsid w:val="2A1738F0"/>
    <w:rsid w:val="2AA74552"/>
    <w:rsid w:val="2B0F6376"/>
    <w:rsid w:val="2B1A7EED"/>
    <w:rsid w:val="2BAA0794"/>
    <w:rsid w:val="2C215763"/>
    <w:rsid w:val="2DCF44E2"/>
    <w:rsid w:val="2E1B296B"/>
    <w:rsid w:val="2E262354"/>
    <w:rsid w:val="2E552C39"/>
    <w:rsid w:val="30843362"/>
    <w:rsid w:val="326276D3"/>
    <w:rsid w:val="339A10EE"/>
    <w:rsid w:val="33B757FC"/>
    <w:rsid w:val="33B83430"/>
    <w:rsid w:val="3437693D"/>
    <w:rsid w:val="349F229E"/>
    <w:rsid w:val="34B64C0C"/>
    <w:rsid w:val="35C91DF7"/>
    <w:rsid w:val="36623A07"/>
    <w:rsid w:val="3699568D"/>
    <w:rsid w:val="36CA5847"/>
    <w:rsid w:val="36D93190"/>
    <w:rsid w:val="37141D64"/>
    <w:rsid w:val="371F2036"/>
    <w:rsid w:val="37C65FC0"/>
    <w:rsid w:val="38A7470F"/>
    <w:rsid w:val="38C26B8B"/>
    <w:rsid w:val="3A7E52C6"/>
    <w:rsid w:val="3AA6016F"/>
    <w:rsid w:val="3AF236EA"/>
    <w:rsid w:val="3B273268"/>
    <w:rsid w:val="3B626996"/>
    <w:rsid w:val="3B787F67"/>
    <w:rsid w:val="3D3B749E"/>
    <w:rsid w:val="3DB03FCF"/>
    <w:rsid w:val="3DFC38D5"/>
    <w:rsid w:val="3E442382"/>
    <w:rsid w:val="40BE1D68"/>
    <w:rsid w:val="40D1628E"/>
    <w:rsid w:val="417C1216"/>
    <w:rsid w:val="41970A1B"/>
    <w:rsid w:val="41A5138A"/>
    <w:rsid w:val="41D775CC"/>
    <w:rsid w:val="423B7BF3"/>
    <w:rsid w:val="42424E2B"/>
    <w:rsid w:val="42B86E9B"/>
    <w:rsid w:val="431762B8"/>
    <w:rsid w:val="4420585E"/>
    <w:rsid w:val="4427077C"/>
    <w:rsid w:val="448252F0"/>
    <w:rsid w:val="47A65E5C"/>
    <w:rsid w:val="47C00CCC"/>
    <w:rsid w:val="47D66741"/>
    <w:rsid w:val="48194B54"/>
    <w:rsid w:val="48C60564"/>
    <w:rsid w:val="49042E3A"/>
    <w:rsid w:val="49494CF1"/>
    <w:rsid w:val="497D0AA0"/>
    <w:rsid w:val="4BD50ABE"/>
    <w:rsid w:val="4C001FDF"/>
    <w:rsid w:val="4C365A00"/>
    <w:rsid w:val="4DC42B98"/>
    <w:rsid w:val="4E3C6BD2"/>
    <w:rsid w:val="4F9A62A6"/>
    <w:rsid w:val="50F32112"/>
    <w:rsid w:val="511F5085"/>
    <w:rsid w:val="514D61C2"/>
    <w:rsid w:val="517D5E7F"/>
    <w:rsid w:val="518A6447"/>
    <w:rsid w:val="52293911"/>
    <w:rsid w:val="522B5E7C"/>
    <w:rsid w:val="523E5075"/>
    <w:rsid w:val="531558BC"/>
    <w:rsid w:val="53EB539E"/>
    <w:rsid w:val="5422054D"/>
    <w:rsid w:val="54A320E7"/>
    <w:rsid w:val="54D11CCC"/>
    <w:rsid w:val="550B6A44"/>
    <w:rsid w:val="55120D38"/>
    <w:rsid w:val="55806A73"/>
    <w:rsid w:val="562F79E9"/>
    <w:rsid w:val="56710C02"/>
    <w:rsid w:val="56CE6835"/>
    <w:rsid w:val="572A5C41"/>
    <w:rsid w:val="57580F21"/>
    <w:rsid w:val="576F77A0"/>
    <w:rsid w:val="59B73BAB"/>
    <w:rsid w:val="59C363FA"/>
    <w:rsid w:val="5A113609"/>
    <w:rsid w:val="5ACA4DFD"/>
    <w:rsid w:val="5B0176E4"/>
    <w:rsid w:val="5B9A423C"/>
    <w:rsid w:val="5D445AA3"/>
    <w:rsid w:val="5E714676"/>
    <w:rsid w:val="5E9D546B"/>
    <w:rsid w:val="5ED209B4"/>
    <w:rsid w:val="612754C0"/>
    <w:rsid w:val="613A3445"/>
    <w:rsid w:val="616473B4"/>
    <w:rsid w:val="6235591B"/>
    <w:rsid w:val="62B17737"/>
    <w:rsid w:val="63415520"/>
    <w:rsid w:val="63EE6769"/>
    <w:rsid w:val="640F0BB9"/>
    <w:rsid w:val="645A5C62"/>
    <w:rsid w:val="6562503C"/>
    <w:rsid w:val="67B5251D"/>
    <w:rsid w:val="67C365D4"/>
    <w:rsid w:val="687716F6"/>
    <w:rsid w:val="690D143F"/>
    <w:rsid w:val="69F745C9"/>
    <w:rsid w:val="6A0359B4"/>
    <w:rsid w:val="6A114F5F"/>
    <w:rsid w:val="6A65190A"/>
    <w:rsid w:val="6B25645F"/>
    <w:rsid w:val="6C040369"/>
    <w:rsid w:val="6C8C6991"/>
    <w:rsid w:val="70E01533"/>
    <w:rsid w:val="70E114A5"/>
    <w:rsid w:val="714E5FA0"/>
    <w:rsid w:val="71593474"/>
    <w:rsid w:val="721A66B9"/>
    <w:rsid w:val="72B02765"/>
    <w:rsid w:val="756E3C30"/>
    <w:rsid w:val="76796366"/>
    <w:rsid w:val="7A3A36CD"/>
    <w:rsid w:val="7A4153ED"/>
    <w:rsid w:val="7ABD27F2"/>
    <w:rsid w:val="7B7A36AA"/>
    <w:rsid w:val="7B8B4B71"/>
    <w:rsid w:val="7BF546E1"/>
    <w:rsid w:val="7C4D62CB"/>
    <w:rsid w:val="7C5424EB"/>
    <w:rsid w:val="7CB9570E"/>
    <w:rsid w:val="7CDB16FB"/>
    <w:rsid w:val="7D741FE3"/>
    <w:rsid w:val="7E3037AE"/>
    <w:rsid w:val="7F0C2270"/>
    <w:rsid w:val="7FE23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nhideWhenUsed="0"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99" w:semiHidden="0"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3"/>
    <w:autoRedefine/>
    <w:qFormat/>
    <w:uiPriority w:val="0"/>
    <w:pPr>
      <w:keepNext/>
      <w:jc w:val="center"/>
      <w:outlineLvl w:val="0"/>
    </w:pPr>
    <w:rPr>
      <w:b/>
      <w:bCs/>
      <w:sz w:val="24"/>
      <w:szCs w:val="20"/>
    </w:rPr>
  </w:style>
  <w:style w:type="paragraph" w:styleId="3">
    <w:name w:val="heading 2"/>
    <w:basedOn w:val="1"/>
    <w:next w:val="4"/>
    <w:link w:val="54"/>
    <w:autoRedefine/>
    <w:qFormat/>
    <w:uiPriority w:val="0"/>
    <w:pPr>
      <w:keepNext/>
      <w:keepLines/>
      <w:spacing w:line="360" w:lineRule="auto"/>
      <w:outlineLvl w:val="1"/>
    </w:pPr>
    <w:rPr>
      <w:rFonts w:ascii="Arial" w:hAnsi="Arial" w:eastAsia="方正小标宋简体"/>
      <w:b/>
      <w:bCs/>
      <w:sz w:val="44"/>
      <w:szCs w:val="32"/>
    </w:rPr>
  </w:style>
  <w:style w:type="paragraph" w:styleId="5">
    <w:name w:val="heading 3"/>
    <w:basedOn w:val="1"/>
    <w:next w:val="1"/>
    <w:link w:val="55"/>
    <w:autoRedefine/>
    <w:qFormat/>
    <w:uiPriority w:val="0"/>
    <w:pPr>
      <w:keepNext/>
      <w:keepLines/>
      <w:spacing w:before="260" w:after="260" w:line="416" w:lineRule="auto"/>
      <w:outlineLvl w:val="2"/>
    </w:pPr>
    <w:rPr>
      <w:rFonts w:eastAsia="黑体"/>
      <w:b/>
      <w:bCs/>
      <w:sz w:val="32"/>
      <w:szCs w:val="32"/>
    </w:rPr>
  </w:style>
  <w:style w:type="paragraph" w:styleId="6">
    <w:name w:val="heading 4"/>
    <w:basedOn w:val="1"/>
    <w:next w:val="1"/>
    <w:link w:val="56"/>
    <w:autoRedefine/>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57"/>
    <w:autoRedefine/>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8">
    <w:name w:val="heading 6"/>
    <w:basedOn w:val="1"/>
    <w:next w:val="1"/>
    <w:link w:val="58"/>
    <w:autoRedefine/>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9">
    <w:name w:val="heading 7"/>
    <w:basedOn w:val="1"/>
    <w:next w:val="1"/>
    <w:link w:val="59"/>
    <w:autoRedefine/>
    <w:qFormat/>
    <w:uiPriority w:val="0"/>
    <w:pPr>
      <w:keepNext/>
      <w:keepLines/>
      <w:adjustRightInd w:val="0"/>
      <w:spacing w:before="240" w:after="64" w:line="320" w:lineRule="atLeast"/>
      <w:jc w:val="left"/>
      <w:textAlignment w:val="baseline"/>
      <w:outlineLvl w:val="6"/>
    </w:pPr>
    <w:rPr>
      <w:b/>
      <w:bCs/>
      <w:kern w:val="0"/>
      <w:sz w:val="24"/>
    </w:rPr>
  </w:style>
  <w:style w:type="paragraph" w:styleId="10">
    <w:name w:val="heading 8"/>
    <w:basedOn w:val="1"/>
    <w:next w:val="1"/>
    <w:link w:val="60"/>
    <w:autoRedefine/>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1">
    <w:name w:val="heading 9"/>
    <w:basedOn w:val="1"/>
    <w:next w:val="1"/>
    <w:link w:val="61"/>
    <w:autoRedefine/>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6">
    <w:name w:val="Default Paragraph Font"/>
    <w:autoRedefine/>
    <w:semiHidden/>
    <w:unhideWhenUsed/>
    <w:qFormat/>
    <w:uiPriority w:val="1"/>
  </w:style>
  <w:style w:type="table" w:default="1" w:styleId="44">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autoRedefine/>
    <w:qFormat/>
    <w:uiPriority w:val="0"/>
    <w:pPr>
      <w:widowControl/>
      <w:ind w:firstLine="420"/>
      <w:jc w:val="left"/>
    </w:pPr>
    <w:rPr>
      <w:kern w:val="0"/>
      <w:sz w:val="20"/>
      <w:szCs w:val="20"/>
    </w:rPr>
  </w:style>
  <w:style w:type="paragraph" w:styleId="12">
    <w:name w:val="toc 7"/>
    <w:basedOn w:val="1"/>
    <w:next w:val="1"/>
    <w:autoRedefine/>
    <w:unhideWhenUsed/>
    <w:qFormat/>
    <w:uiPriority w:val="39"/>
    <w:pPr>
      <w:ind w:left="2520" w:leftChars="1200"/>
    </w:pPr>
    <w:rPr>
      <w:rFonts w:asciiTheme="minorHAnsi" w:hAnsiTheme="minorHAnsi" w:eastAsiaTheme="minorEastAsia" w:cstheme="minorBidi"/>
      <w:szCs w:val="22"/>
    </w:rPr>
  </w:style>
  <w:style w:type="paragraph" w:styleId="13">
    <w:name w:val="Document Map"/>
    <w:basedOn w:val="1"/>
    <w:link w:val="85"/>
    <w:autoRedefine/>
    <w:semiHidden/>
    <w:qFormat/>
    <w:uiPriority w:val="0"/>
    <w:pPr>
      <w:shd w:val="clear" w:color="auto" w:fill="000080"/>
    </w:pPr>
  </w:style>
  <w:style w:type="paragraph" w:styleId="14">
    <w:name w:val="annotation text"/>
    <w:basedOn w:val="1"/>
    <w:link w:val="69"/>
    <w:autoRedefine/>
    <w:qFormat/>
    <w:uiPriority w:val="0"/>
    <w:pPr>
      <w:jc w:val="left"/>
    </w:pPr>
  </w:style>
  <w:style w:type="paragraph" w:styleId="15">
    <w:name w:val="Salutation"/>
    <w:basedOn w:val="1"/>
    <w:next w:val="1"/>
    <w:link w:val="74"/>
    <w:autoRedefine/>
    <w:qFormat/>
    <w:uiPriority w:val="0"/>
    <w:rPr>
      <w:rFonts w:ascii="仿宋_GB2312" w:eastAsia="仿宋_GB2312"/>
      <w:sz w:val="24"/>
    </w:rPr>
  </w:style>
  <w:style w:type="paragraph" w:styleId="16">
    <w:name w:val="Body Text"/>
    <w:basedOn w:val="1"/>
    <w:next w:val="17"/>
    <w:link w:val="63"/>
    <w:autoRedefine/>
    <w:qFormat/>
    <w:uiPriority w:val="99"/>
    <w:pPr>
      <w:spacing w:after="120"/>
    </w:pPr>
  </w:style>
  <w:style w:type="paragraph" w:styleId="17">
    <w:name w:val="Body Text First Indent"/>
    <w:basedOn w:val="1"/>
    <w:next w:val="1"/>
    <w:autoRedefine/>
    <w:qFormat/>
    <w:uiPriority w:val="99"/>
    <w:pPr>
      <w:spacing w:after="120" w:line="275" w:lineRule="atLeast"/>
      <w:ind w:firstLine="420"/>
      <w:textAlignment w:val="baseline"/>
    </w:pPr>
  </w:style>
  <w:style w:type="paragraph" w:styleId="18">
    <w:name w:val="Body Text Indent"/>
    <w:basedOn w:val="1"/>
    <w:link w:val="66"/>
    <w:autoRedefine/>
    <w:qFormat/>
    <w:uiPriority w:val="0"/>
    <w:pPr>
      <w:spacing w:after="120"/>
      <w:ind w:left="420" w:leftChars="200"/>
    </w:pPr>
  </w:style>
  <w:style w:type="paragraph" w:styleId="19">
    <w:name w:val="Block Text"/>
    <w:basedOn w:val="1"/>
    <w:autoRedefine/>
    <w:qFormat/>
    <w:uiPriority w:val="0"/>
    <w:pPr>
      <w:ind w:left="1171" w:right="91" w:hanging="1080"/>
    </w:pPr>
    <w:rPr>
      <w:rFonts w:eastAsia="楷体_GB2312"/>
      <w:szCs w:val="20"/>
    </w:rPr>
  </w:style>
  <w:style w:type="paragraph" w:styleId="20">
    <w:name w:val="toc 5"/>
    <w:basedOn w:val="1"/>
    <w:next w:val="1"/>
    <w:autoRedefine/>
    <w:unhideWhenUsed/>
    <w:qFormat/>
    <w:uiPriority w:val="39"/>
    <w:pPr>
      <w:adjustRightInd w:val="0"/>
      <w:snapToGrid w:val="0"/>
      <w:spacing w:line="360" w:lineRule="auto"/>
      <w:ind w:left="150" w:leftChars="150"/>
    </w:pPr>
    <w:rPr>
      <w:rFonts w:asciiTheme="minorHAnsi" w:hAnsiTheme="minorHAnsi" w:eastAsiaTheme="minorEastAsia" w:cstheme="minorBidi"/>
      <w:sz w:val="28"/>
      <w:szCs w:val="22"/>
    </w:rPr>
  </w:style>
  <w:style w:type="paragraph" w:styleId="21">
    <w:name w:val="toc 3"/>
    <w:basedOn w:val="1"/>
    <w:next w:val="1"/>
    <w:autoRedefine/>
    <w:unhideWhenUsed/>
    <w:qFormat/>
    <w:uiPriority w:val="39"/>
    <w:pPr>
      <w:adjustRightInd w:val="0"/>
      <w:snapToGrid w:val="0"/>
      <w:spacing w:line="360" w:lineRule="auto"/>
      <w:ind w:left="50" w:leftChars="50"/>
    </w:pPr>
    <w:rPr>
      <w:rFonts w:eastAsiaTheme="minorEastAsia"/>
      <w:b/>
      <w:sz w:val="28"/>
    </w:rPr>
  </w:style>
  <w:style w:type="paragraph" w:styleId="22">
    <w:name w:val="Plain Text"/>
    <w:basedOn w:val="1"/>
    <w:link w:val="68"/>
    <w:autoRedefine/>
    <w:qFormat/>
    <w:uiPriority w:val="0"/>
    <w:rPr>
      <w:rFonts w:ascii="宋体" w:hAnsi="Courier New" w:cs="Courier New"/>
      <w:szCs w:val="21"/>
    </w:rPr>
  </w:style>
  <w:style w:type="paragraph" w:styleId="23">
    <w:name w:val="toc 8"/>
    <w:basedOn w:val="1"/>
    <w:next w:val="1"/>
    <w:autoRedefine/>
    <w:unhideWhenUsed/>
    <w:qFormat/>
    <w:uiPriority w:val="39"/>
    <w:pPr>
      <w:ind w:left="2940" w:leftChars="1400"/>
    </w:pPr>
    <w:rPr>
      <w:rFonts w:asciiTheme="minorHAnsi" w:hAnsiTheme="minorHAnsi" w:eastAsiaTheme="minorEastAsia" w:cstheme="minorBidi"/>
      <w:szCs w:val="22"/>
    </w:rPr>
  </w:style>
  <w:style w:type="paragraph" w:styleId="24">
    <w:name w:val="Date"/>
    <w:basedOn w:val="1"/>
    <w:next w:val="1"/>
    <w:link w:val="79"/>
    <w:autoRedefine/>
    <w:qFormat/>
    <w:uiPriority w:val="0"/>
    <w:rPr>
      <w:sz w:val="24"/>
      <w:szCs w:val="20"/>
    </w:rPr>
  </w:style>
  <w:style w:type="paragraph" w:styleId="25">
    <w:name w:val="Body Text Indent 2"/>
    <w:basedOn w:val="1"/>
    <w:link w:val="76"/>
    <w:autoRedefine/>
    <w:qFormat/>
    <w:uiPriority w:val="0"/>
    <w:pPr>
      <w:spacing w:after="120" w:line="480" w:lineRule="auto"/>
      <w:ind w:left="420" w:leftChars="200"/>
    </w:pPr>
  </w:style>
  <w:style w:type="paragraph" w:styleId="26">
    <w:name w:val="endnote text"/>
    <w:basedOn w:val="1"/>
    <w:autoRedefine/>
    <w:semiHidden/>
    <w:unhideWhenUsed/>
    <w:qFormat/>
    <w:uiPriority w:val="99"/>
    <w:pPr>
      <w:snapToGrid w:val="0"/>
      <w:jc w:val="left"/>
    </w:pPr>
  </w:style>
  <w:style w:type="paragraph" w:styleId="27">
    <w:name w:val="Balloon Text"/>
    <w:basedOn w:val="1"/>
    <w:link w:val="93"/>
    <w:autoRedefine/>
    <w:qFormat/>
    <w:uiPriority w:val="0"/>
    <w:rPr>
      <w:sz w:val="18"/>
      <w:szCs w:val="18"/>
    </w:rPr>
  </w:style>
  <w:style w:type="paragraph" w:styleId="28">
    <w:name w:val="footer"/>
    <w:basedOn w:val="1"/>
    <w:link w:val="64"/>
    <w:autoRedefine/>
    <w:qFormat/>
    <w:uiPriority w:val="99"/>
    <w:pPr>
      <w:tabs>
        <w:tab w:val="center" w:pos="4153"/>
        <w:tab w:val="right" w:pos="8306"/>
      </w:tabs>
      <w:snapToGrid w:val="0"/>
      <w:jc w:val="left"/>
    </w:pPr>
    <w:rPr>
      <w:sz w:val="18"/>
      <w:szCs w:val="18"/>
    </w:rPr>
  </w:style>
  <w:style w:type="paragraph" w:styleId="29">
    <w:name w:val="header"/>
    <w:basedOn w:val="1"/>
    <w:link w:val="65"/>
    <w:autoRedefine/>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autoRedefine/>
    <w:qFormat/>
    <w:uiPriority w:val="39"/>
    <w:pPr>
      <w:spacing w:line="360" w:lineRule="auto"/>
      <w:jc w:val="left"/>
    </w:pPr>
    <w:rPr>
      <w:rFonts w:eastAsia="黑体" w:asciiTheme="minorEastAsia" w:hAnsiTheme="minorEastAsia"/>
      <w:sz w:val="32"/>
      <w:szCs w:val="21"/>
    </w:rPr>
  </w:style>
  <w:style w:type="paragraph" w:styleId="31">
    <w:name w:val="toc 4"/>
    <w:basedOn w:val="1"/>
    <w:next w:val="1"/>
    <w:autoRedefine/>
    <w:unhideWhenUsed/>
    <w:qFormat/>
    <w:uiPriority w:val="39"/>
    <w:pPr>
      <w:adjustRightInd w:val="0"/>
      <w:snapToGrid w:val="0"/>
      <w:spacing w:line="360" w:lineRule="auto"/>
      <w:ind w:left="100" w:leftChars="100"/>
    </w:pPr>
    <w:rPr>
      <w:rFonts w:asciiTheme="minorHAnsi" w:hAnsiTheme="minorHAnsi" w:eastAsiaTheme="minorEastAsia" w:cstheme="minorBidi"/>
      <w:sz w:val="28"/>
      <w:szCs w:val="22"/>
    </w:rPr>
  </w:style>
  <w:style w:type="paragraph" w:styleId="32">
    <w:name w:val="Subtitle"/>
    <w:basedOn w:val="1"/>
    <w:next w:val="1"/>
    <w:link w:val="146"/>
    <w:autoRedefine/>
    <w:qFormat/>
    <w:uiPriority w:val="0"/>
    <w:pPr>
      <w:spacing w:before="240" w:after="60" w:line="312" w:lineRule="auto"/>
      <w:jc w:val="center"/>
      <w:outlineLvl w:val="1"/>
    </w:pPr>
    <w:rPr>
      <w:rFonts w:ascii="等线 Light" w:hAnsi="等线 Light"/>
      <w:b/>
      <w:bCs/>
      <w:kern w:val="28"/>
      <w:sz w:val="32"/>
      <w:szCs w:val="32"/>
    </w:rPr>
  </w:style>
  <w:style w:type="paragraph" w:styleId="33">
    <w:name w:val="toc 6"/>
    <w:basedOn w:val="1"/>
    <w:next w:val="1"/>
    <w:autoRedefine/>
    <w:qFormat/>
    <w:uiPriority w:val="39"/>
    <w:pPr>
      <w:ind w:left="2100"/>
    </w:pPr>
    <w:rPr>
      <w:szCs w:val="20"/>
    </w:rPr>
  </w:style>
  <w:style w:type="paragraph" w:styleId="34">
    <w:name w:val="Body Text Indent 3"/>
    <w:basedOn w:val="1"/>
    <w:link w:val="78"/>
    <w:autoRedefine/>
    <w:qFormat/>
    <w:uiPriority w:val="0"/>
    <w:pPr>
      <w:spacing w:after="120"/>
      <w:ind w:left="420" w:leftChars="200"/>
    </w:pPr>
    <w:rPr>
      <w:sz w:val="16"/>
      <w:szCs w:val="16"/>
    </w:rPr>
  </w:style>
  <w:style w:type="paragraph" w:styleId="35">
    <w:name w:val="toc 2"/>
    <w:basedOn w:val="1"/>
    <w:next w:val="1"/>
    <w:autoRedefine/>
    <w:unhideWhenUsed/>
    <w:qFormat/>
    <w:uiPriority w:val="39"/>
    <w:pPr>
      <w:spacing w:line="360" w:lineRule="auto"/>
    </w:pPr>
    <w:rPr>
      <w:rFonts w:eastAsiaTheme="minorEastAsia"/>
      <w:b/>
      <w:sz w:val="28"/>
    </w:rPr>
  </w:style>
  <w:style w:type="paragraph" w:styleId="36">
    <w:name w:val="toc 9"/>
    <w:basedOn w:val="1"/>
    <w:next w:val="1"/>
    <w:autoRedefine/>
    <w:unhideWhenUsed/>
    <w:qFormat/>
    <w:uiPriority w:val="39"/>
    <w:pPr>
      <w:ind w:left="3360" w:leftChars="1600"/>
    </w:pPr>
    <w:rPr>
      <w:rFonts w:asciiTheme="minorHAnsi" w:hAnsiTheme="minorHAnsi" w:eastAsiaTheme="minorEastAsia" w:cstheme="minorBidi"/>
      <w:szCs w:val="22"/>
    </w:rPr>
  </w:style>
  <w:style w:type="paragraph" w:styleId="37">
    <w:name w:val="Body Text 2"/>
    <w:basedOn w:val="1"/>
    <w:link w:val="75"/>
    <w:autoRedefine/>
    <w:qFormat/>
    <w:uiPriority w:val="0"/>
    <w:pPr>
      <w:spacing w:after="120" w:line="480" w:lineRule="auto"/>
    </w:pPr>
  </w:style>
  <w:style w:type="paragraph" w:styleId="38">
    <w:name w:val="HTML Preformatted"/>
    <w:basedOn w:val="1"/>
    <w:link w:val="73"/>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39">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40">
    <w:name w:val="index 1"/>
    <w:basedOn w:val="1"/>
    <w:next w:val="1"/>
    <w:autoRedefine/>
    <w:qFormat/>
    <w:uiPriority w:val="0"/>
    <w:pPr>
      <w:spacing w:line="220" w:lineRule="exact"/>
      <w:jc w:val="center"/>
    </w:pPr>
    <w:rPr>
      <w:rFonts w:ascii="仿宋_GB2312" w:eastAsia="仿宋_GB2312"/>
      <w:szCs w:val="20"/>
    </w:rPr>
  </w:style>
  <w:style w:type="paragraph" w:styleId="41">
    <w:name w:val="Title"/>
    <w:basedOn w:val="1"/>
    <w:link w:val="110"/>
    <w:autoRedefine/>
    <w:qFormat/>
    <w:uiPriority w:val="0"/>
    <w:pPr>
      <w:jc w:val="center"/>
      <w:outlineLvl w:val="0"/>
    </w:pPr>
    <w:rPr>
      <w:rFonts w:asciiTheme="minorHAnsi" w:hAnsiTheme="minorHAnsi" w:eastAsiaTheme="minorEastAsia" w:cstheme="minorBidi"/>
      <w:b/>
      <w:sz w:val="32"/>
      <w:szCs w:val="22"/>
    </w:rPr>
  </w:style>
  <w:style w:type="paragraph" w:styleId="42">
    <w:name w:val="annotation subject"/>
    <w:basedOn w:val="14"/>
    <w:next w:val="14"/>
    <w:link w:val="92"/>
    <w:autoRedefine/>
    <w:qFormat/>
    <w:uiPriority w:val="0"/>
    <w:rPr>
      <w:b/>
      <w:bCs/>
    </w:rPr>
  </w:style>
  <w:style w:type="paragraph" w:styleId="43">
    <w:name w:val="Body Text First Indent 2"/>
    <w:basedOn w:val="18"/>
    <w:autoRedefine/>
    <w:unhideWhenUsed/>
    <w:qFormat/>
    <w:uiPriority w:val="99"/>
    <w:pPr>
      <w:tabs>
        <w:tab w:val="left" w:pos="0"/>
        <w:tab w:val="left" w:pos="993"/>
        <w:tab w:val="left" w:pos="1134"/>
      </w:tabs>
      <w:ind w:firstLine="420" w:firstLineChars="200"/>
    </w:pPr>
  </w:style>
  <w:style w:type="table" w:styleId="45">
    <w:name w:val="Table Grid"/>
    <w:basedOn w:val="44"/>
    <w:autoRedefine/>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Strong"/>
    <w:autoRedefine/>
    <w:qFormat/>
    <w:uiPriority w:val="22"/>
    <w:rPr>
      <w:b/>
      <w:bCs/>
    </w:rPr>
  </w:style>
  <w:style w:type="character" w:styleId="48">
    <w:name w:val="endnote reference"/>
    <w:basedOn w:val="46"/>
    <w:autoRedefine/>
    <w:semiHidden/>
    <w:unhideWhenUsed/>
    <w:qFormat/>
    <w:uiPriority w:val="99"/>
    <w:rPr>
      <w:vertAlign w:val="superscript"/>
    </w:rPr>
  </w:style>
  <w:style w:type="character" w:styleId="49">
    <w:name w:val="page number"/>
    <w:basedOn w:val="46"/>
    <w:autoRedefine/>
    <w:qFormat/>
    <w:uiPriority w:val="0"/>
  </w:style>
  <w:style w:type="character" w:styleId="50">
    <w:name w:val="FollowedHyperlink"/>
    <w:autoRedefine/>
    <w:qFormat/>
    <w:uiPriority w:val="0"/>
    <w:rPr>
      <w:color w:val="800080"/>
      <w:u w:val="single"/>
    </w:rPr>
  </w:style>
  <w:style w:type="character" w:styleId="51">
    <w:name w:val="Hyperlink"/>
    <w:autoRedefine/>
    <w:qFormat/>
    <w:uiPriority w:val="99"/>
    <w:rPr>
      <w:color w:val="136EC2"/>
      <w:u w:val="single"/>
    </w:rPr>
  </w:style>
  <w:style w:type="character" w:styleId="52">
    <w:name w:val="annotation reference"/>
    <w:basedOn w:val="46"/>
    <w:autoRedefine/>
    <w:qFormat/>
    <w:uiPriority w:val="0"/>
    <w:rPr>
      <w:sz w:val="21"/>
      <w:szCs w:val="21"/>
    </w:rPr>
  </w:style>
  <w:style w:type="character" w:customStyle="1" w:styleId="53">
    <w:name w:val="标题 1 字符1"/>
    <w:basedOn w:val="46"/>
    <w:link w:val="2"/>
    <w:autoRedefine/>
    <w:qFormat/>
    <w:uiPriority w:val="0"/>
    <w:rPr>
      <w:rFonts w:ascii="Times New Roman" w:hAnsi="Times New Roman" w:eastAsia="宋体" w:cs="Times New Roman"/>
      <w:b/>
      <w:bCs/>
      <w:sz w:val="24"/>
      <w:szCs w:val="20"/>
    </w:rPr>
  </w:style>
  <w:style w:type="character" w:customStyle="1" w:styleId="54">
    <w:name w:val="标题 2 字符1"/>
    <w:basedOn w:val="46"/>
    <w:link w:val="3"/>
    <w:autoRedefine/>
    <w:qFormat/>
    <w:uiPriority w:val="0"/>
    <w:rPr>
      <w:rFonts w:ascii="Arial" w:hAnsi="Arial" w:eastAsia="方正小标宋简体" w:cs="Times New Roman"/>
      <w:b/>
      <w:bCs/>
      <w:kern w:val="2"/>
      <w:sz w:val="44"/>
      <w:szCs w:val="32"/>
    </w:rPr>
  </w:style>
  <w:style w:type="character" w:customStyle="1" w:styleId="55">
    <w:name w:val="标题 3 字符"/>
    <w:basedOn w:val="46"/>
    <w:link w:val="5"/>
    <w:autoRedefine/>
    <w:qFormat/>
    <w:uiPriority w:val="0"/>
    <w:rPr>
      <w:rFonts w:ascii="Times New Roman" w:hAnsi="Times New Roman" w:eastAsia="黑体" w:cs="Times New Roman"/>
      <w:b/>
      <w:bCs/>
      <w:kern w:val="2"/>
      <w:sz w:val="32"/>
      <w:szCs w:val="32"/>
    </w:rPr>
  </w:style>
  <w:style w:type="character" w:customStyle="1" w:styleId="56">
    <w:name w:val="标题 4 字符1"/>
    <w:basedOn w:val="46"/>
    <w:link w:val="6"/>
    <w:autoRedefine/>
    <w:qFormat/>
    <w:uiPriority w:val="0"/>
    <w:rPr>
      <w:rFonts w:ascii="Arial" w:hAnsi="Arial" w:eastAsia="黑体" w:cs="Times New Roman"/>
      <w:b/>
      <w:bCs/>
      <w:sz w:val="28"/>
      <w:szCs w:val="28"/>
    </w:rPr>
  </w:style>
  <w:style w:type="character" w:customStyle="1" w:styleId="57">
    <w:name w:val="标题 5 字符"/>
    <w:basedOn w:val="46"/>
    <w:link w:val="7"/>
    <w:autoRedefine/>
    <w:qFormat/>
    <w:uiPriority w:val="0"/>
    <w:rPr>
      <w:rFonts w:ascii="Times New Roman" w:hAnsi="Times New Roman" w:eastAsia="宋体" w:cs="Times New Roman"/>
      <w:b/>
      <w:bCs/>
      <w:kern w:val="0"/>
      <w:sz w:val="28"/>
      <w:szCs w:val="28"/>
    </w:rPr>
  </w:style>
  <w:style w:type="character" w:customStyle="1" w:styleId="58">
    <w:name w:val="标题 6 字符"/>
    <w:basedOn w:val="46"/>
    <w:link w:val="8"/>
    <w:autoRedefine/>
    <w:qFormat/>
    <w:uiPriority w:val="0"/>
    <w:rPr>
      <w:rFonts w:ascii="Arial" w:hAnsi="Arial" w:eastAsia="黑体" w:cs="Times New Roman"/>
      <w:b/>
      <w:bCs/>
      <w:kern w:val="0"/>
      <w:sz w:val="24"/>
      <w:szCs w:val="24"/>
    </w:rPr>
  </w:style>
  <w:style w:type="character" w:customStyle="1" w:styleId="59">
    <w:name w:val="标题 7 字符"/>
    <w:basedOn w:val="46"/>
    <w:link w:val="9"/>
    <w:autoRedefine/>
    <w:qFormat/>
    <w:uiPriority w:val="0"/>
    <w:rPr>
      <w:rFonts w:ascii="Times New Roman" w:hAnsi="Times New Roman" w:eastAsia="宋体" w:cs="Times New Roman"/>
      <w:b/>
      <w:bCs/>
      <w:kern w:val="0"/>
      <w:sz w:val="24"/>
      <w:szCs w:val="24"/>
    </w:rPr>
  </w:style>
  <w:style w:type="character" w:customStyle="1" w:styleId="60">
    <w:name w:val="标题 8 字符"/>
    <w:basedOn w:val="46"/>
    <w:link w:val="10"/>
    <w:autoRedefine/>
    <w:qFormat/>
    <w:uiPriority w:val="0"/>
    <w:rPr>
      <w:rFonts w:ascii="Arial" w:hAnsi="Arial" w:eastAsia="黑体" w:cs="Times New Roman"/>
      <w:kern w:val="0"/>
      <w:sz w:val="24"/>
      <w:szCs w:val="24"/>
    </w:rPr>
  </w:style>
  <w:style w:type="character" w:customStyle="1" w:styleId="61">
    <w:name w:val="标题 9 字符"/>
    <w:basedOn w:val="46"/>
    <w:link w:val="11"/>
    <w:autoRedefine/>
    <w:qFormat/>
    <w:uiPriority w:val="0"/>
    <w:rPr>
      <w:rFonts w:ascii="Arial" w:hAnsi="Arial" w:eastAsia="黑体" w:cs="Times New Roman"/>
      <w:kern w:val="0"/>
      <w:szCs w:val="21"/>
    </w:rPr>
  </w:style>
  <w:style w:type="paragraph" w:customStyle="1" w:styleId="62">
    <w:name w:val="表格内容"/>
    <w:basedOn w:val="16"/>
    <w:autoRedefine/>
    <w:qFormat/>
    <w:uiPriority w:val="0"/>
    <w:pPr>
      <w:suppressLineNumbers/>
      <w:suppressAutoHyphens/>
      <w:jc w:val="left"/>
    </w:pPr>
    <w:rPr>
      <w:rFonts w:cs="Tahoma"/>
      <w:kern w:val="0"/>
      <w:sz w:val="24"/>
    </w:rPr>
  </w:style>
  <w:style w:type="character" w:customStyle="1" w:styleId="63">
    <w:name w:val="正文文本 字符1"/>
    <w:basedOn w:val="46"/>
    <w:link w:val="16"/>
    <w:autoRedefine/>
    <w:qFormat/>
    <w:uiPriority w:val="0"/>
    <w:rPr>
      <w:rFonts w:ascii="Times New Roman" w:hAnsi="Times New Roman" w:eastAsia="宋体" w:cs="Times New Roman"/>
      <w:szCs w:val="24"/>
    </w:rPr>
  </w:style>
  <w:style w:type="character" w:customStyle="1" w:styleId="64">
    <w:name w:val="页脚 字符1"/>
    <w:basedOn w:val="46"/>
    <w:link w:val="28"/>
    <w:autoRedefine/>
    <w:qFormat/>
    <w:uiPriority w:val="99"/>
    <w:rPr>
      <w:rFonts w:ascii="Times New Roman" w:hAnsi="Times New Roman" w:eastAsia="宋体" w:cs="Times New Roman"/>
      <w:sz w:val="18"/>
      <w:szCs w:val="18"/>
    </w:rPr>
  </w:style>
  <w:style w:type="character" w:customStyle="1" w:styleId="65">
    <w:name w:val="页眉 字符1"/>
    <w:basedOn w:val="46"/>
    <w:link w:val="29"/>
    <w:autoRedefine/>
    <w:qFormat/>
    <w:uiPriority w:val="99"/>
    <w:rPr>
      <w:rFonts w:ascii="Times New Roman" w:hAnsi="Times New Roman" w:eastAsia="宋体" w:cs="Times New Roman"/>
      <w:sz w:val="18"/>
      <w:szCs w:val="18"/>
    </w:rPr>
  </w:style>
  <w:style w:type="character" w:customStyle="1" w:styleId="66">
    <w:name w:val="正文文本缩进 字符1"/>
    <w:basedOn w:val="46"/>
    <w:link w:val="18"/>
    <w:autoRedefine/>
    <w:qFormat/>
    <w:uiPriority w:val="0"/>
    <w:rPr>
      <w:rFonts w:ascii="Times New Roman" w:hAnsi="Times New Roman" w:eastAsia="宋体" w:cs="Times New Roman"/>
      <w:szCs w:val="24"/>
    </w:rPr>
  </w:style>
  <w:style w:type="paragraph" w:customStyle="1" w:styleId="67">
    <w:name w:val="Char Char Char Char Char Char Char"/>
    <w:basedOn w:val="1"/>
    <w:autoRedefine/>
    <w:qFormat/>
    <w:uiPriority w:val="0"/>
    <w:pPr>
      <w:snapToGrid w:val="0"/>
      <w:spacing w:line="360" w:lineRule="auto"/>
      <w:ind w:firstLine="200" w:firstLineChars="200"/>
    </w:pPr>
    <w:rPr>
      <w:rFonts w:eastAsia="仿宋_GB2312"/>
      <w:sz w:val="24"/>
    </w:rPr>
  </w:style>
  <w:style w:type="character" w:customStyle="1" w:styleId="68">
    <w:name w:val="纯文本 字符1"/>
    <w:basedOn w:val="46"/>
    <w:link w:val="22"/>
    <w:autoRedefine/>
    <w:qFormat/>
    <w:uiPriority w:val="0"/>
    <w:rPr>
      <w:rFonts w:ascii="宋体" w:hAnsi="Courier New" w:eastAsia="宋体" w:cs="Courier New"/>
      <w:szCs w:val="21"/>
    </w:rPr>
  </w:style>
  <w:style w:type="character" w:customStyle="1" w:styleId="69">
    <w:name w:val="批注文字 字符1"/>
    <w:basedOn w:val="46"/>
    <w:link w:val="14"/>
    <w:autoRedefine/>
    <w:qFormat/>
    <w:uiPriority w:val="0"/>
    <w:rPr>
      <w:rFonts w:ascii="Times New Roman" w:hAnsi="Times New Roman" w:eastAsia="宋体" w:cs="Times New Roman"/>
      <w:szCs w:val="24"/>
    </w:rPr>
  </w:style>
  <w:style w:type="paragraph" w:customStyle="1" w:styleId="70">
    <w:name w:val="Char Char Char Char Char Char Char1"/>
    <w:basedOn w:val="1"/>
    <w:autoRedefine/>
    <w:qFormat/>
    <w:uiPriority w:val="0"/>
    <w:pPr>
      <w:snapToGrid w:val="0"/>
      <w:spacing w:line="360" w:lineRule="auto"/>
      <w:ind w:firstLine="200" w:firstLineChars="200"/>
    </w:pPr>
    <w:rPr>
      <w:rFonts w:eastAsia="仿宋_GB2312"/>
      <w:sz w:val="24"/>
    </w:rPr>
  </w:style>
  <w:style w:type="paragraph" w:customStyle="1" w:styleId="71">
    <w:name w:val="Char Char Char"/>
    <w:basedOn w:val="1"/>
    <w:autoRedefine/>
    <w:qFormat/>
    <w:uiPriority w:val="0"/>
    <w:rPr>
      <w:rFonts w:ascii="宋体" w:hAnsi="宋体"/>
      <w:b/>
      <w:sz w:val="28"/>
      <w:szCs w:val="28"/>
    </w:rPr>
  </w:style>
  <w:style w:type="paragraph" w:customStyle="1" w:styleId="72">
    <w:name w:val="Char Char1 Char Char Char Char Char Char Char 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character" w:customStyle="1" w:styleId="73">
    <w:name w:val="HTML 预设格式 字符"/>
    <w:basedOn w:val="46"/>
    <w:link w:val="38"/>
    <w:autoRedefine/>
    <w:qFormat/>
    <w:uiPriority w:val="0"/>
    <w:rPr>
      <w:rFonts w:ascii="Arial" w:hAnsi="Arial" w:eastAsia="宋体" w:cs="Arial"/>
      <w:kern w:val="0"/>
      <w:sz w:val="24"/>
      <w:szCs w:val="24"/>
    </w:rPr>
  </w:style>
  <w:style w:type="character" w:customStyle="1" w:styleId="74">
    <w:name w:val="称呼 字符"/>
    <w:basedOn w:val="46"/>
    <w:link w:val="15"/>
    <w:autoRedefine/>
    <w:qFormat/>
    <w:uiPriority w:val="0"/>
    <w:rPr>
      <w:rFonts w:ascii="仿宋_GB2312" w:hAnsi="Times New Roman" w:eastAsia="仿宋_GB2312" w:cs="Times New Roman"/>
      <w:sz w:val="24"/>
      <w:szCs w:val="24"/>
    </w:rPr>
  </w:style>
  <w:style w:type="character" w:customStyle="1" w:styleId="75">
    <w:name w:val="正文文本 2 字符1"/>
    <w:basedOn w:val="46"/>
    <w:link w:val="37"/>
    <w:autoRedefine/>
    <w:qFormat/>
    <w:uiPriority w:val="0"/>
    <w:rPr>
      <w:rFonts w:ascii="Times New Roman" w:hAnsi="Times New Roman" w:eastAsia="宋体" w:cs="Times New Roman"/>
      <w:szCs w:val="24"/>
    </w:rPr>
  </w:style>
  <w:style w:type="character" w:customStyle="1" w:styleId="76">
    <w:name w:val="正文文本缩进 2 字符1"/>
    <w:basedOn w:val="46"/>
    <w:link w:val="25"/>
    <w:autoRedefine/>
    <w:qFormat/>
    <w:uiPriority w:val="0"/>
    <w:rPr>
      <w:rFonts w:ascii="Times New Roman" w:hAnsi="Times New Roman" w:eastAsia="宋体" w:cs="Times New Roman"/>
      <w:szCs w:val="24"/>
    </w:rPr>
  </w:style>
  <w:style w:type="paragraph" w:customStyle="1" w:styleId="77">
    <w:name w:val="Char"/>
    <w:basedOn w:val="1"/>
    <w:autoRedefine/>
    <w:qFormat/>
    <w:uiPriority w:val="0"/>
    <w:pPr>
      <w:tabs>
        <w:tab w:val="left" w:pos="360"/>
      </w:tabs>
      <w:ind w:left="360" w:hanging="360" w:hangingChars="200"/>
    </w:pPr>
    <w:rPr>
      <w:sz w:val="24"/>
    </w:rPr>
  </w:style>
  <w:style w:type="character" w:customStyle="1" w:styleId="78">
    <w:name w:val="正文文本缩进 3 字符"/>
    <w:basedOn w:val="46"/>
    <w:link w:val="34"/>
    <w:autoRedefine/>
    <w:qFormat/>
    <w:uiPriority w:val="0"/>
    <w:rPr>
      <w:rFonts w:ascii="Times New Roman" w:hAnsi="Times New Roman" w:eastAsia="宋体" w:cs="Times New Roman"/>
      <w:sz w:val="16"/>
      <w:szCs w:val="16"/>
    </w:rPr>
  </w:style>
  <w:style w:type="character" w:customStyle="1" w:styleId="79">
    <w:name w:val="日期 字符"/>
    <w:basedOn w:val="46"/>
    <w:link w:val="24"/>
    <w:autoRedefine/>
    <w:qFormat/>
    <w:uiPriority w:val="0"/>
    <w:rPr>
      <w:rFonts w:ascii="Times New Roman" w:hAnsi="Times New Roman" w:eastAsia="宋体" w:cs="Times New Roman"/>
      <w:sz w:val="24"/>
      <w:szCs w:val="20"/>
    </w:rPr>
  </w:style>
  <w:style w:type="paragraph" w:customStyle="1" w:styleId="80">
    <w:name w:val="样式1"/>
    <w:basedOn w:val="1"/>
    <w:link w:val="112"/>
    <w:autoRedefine/>
    <w:qFormat/>
    <w:uiPriority w:val="0"/>
    <w:pPr>
      <w:tabs>
        <w:tab w:val="left" w:pos="360"/>
      </w:tabs>
      <w:adjustRightInd w:val="0"/>
      <w:ind w:left="360" w:hanging="360"/>
      <w:textAlignment w:val="baseline"/>
    </w:pPr>
    <w:rPr>
      <w:rFonts w:ascii="宋体" w:hAnsi="宋体"/>
      <w:kern w:val="0"/>
      <w:szCs w:val="21"/>
    </w:rPr>
  </w:style>
  <w:style w:type="character" w:customStyle="1" w:styleId="81">
    <w:name w:val="p0 Char"/>
    <w:link w:val="82"/>
    <w:autoRedefine/>
    <w:qFormat/>
    <w:uiPriority w:val="0"/>
    <w:rPr>
      <w:rFonts w:eastAsia="宋体"/>
      <w:szCs w:val="21"/>
    </w:rPr>
  </w:style>
  <w:style w:type="paragraph" w:customStyle="1" w:styleId="82">
    <w:name w:val="p0"/>
    <w:basedOn w:val="1"/>
    <w:link w:val="81"/>
    <w:autoRedefine/>
    <w:qFormat/>
    <w:uiPriority w:val="0"/>
    <w:pPr>
      <w:widowControl/>
    </w:pPr>
    <w:rPr>
      <w:rFonts w:asciiTheme="minorHAnsi" w:hAnsiTheme="minorHAnsi" w:cstheme="minorBidi"/>
      <w:szCs w:val="21"/>
    </w:rPr>
  </w:style>
  <w:style w:type="paragraph" w:customStyle="1" w:styleId="83">
    <w:name w:val="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84">
    <w:name w:val="Char Char1 Char Char Char Char Char1 Char Char Char Char"/>
    <w:basedOn w:val="13"/>
    <w:autoRedefine/>
    <w:qFormat/>
    <w:uiPriority w:val="0"/>
    <w:rPr>
      <w:rFonts w:ascii="Tahoma" w:hAnsi="Tahoma"/>
    </w:rPr>
  </w:style>
  <w:style w:type="character" w:customStyle="1" w:styleId="85">
    <w:name w:val="文档结构图 字符1"/>
    <w:basedOn w:val="46"/>
    <w:link w:val="13"/>
    <w:autoRedefine/>
    <w:semiHidden/>
    <w:qFormat/>
    <w:uiPriority w:val="0"/>
    <w:rPr>
      <w:rFonts w:ascii="Times New Roman" w:hAnsi="Times New Roman" w:eastAsia="宋体" w:cs="Times New Roman"/>
      <w:szCs w:val="24"/>
      <w:shd w:val="clear" w:color="auto" w:fill="000080"/>
    </w:rPr>
  </w:style>
  <w:style w:type="paragraph" w:customStyle="1" w:styleId="86">
    <w:name w:val="样式 样式 样式 样式 标题 2 + 宋体 五号 非加粗 黑色 + 段前: 6 磅 段后: 0 磅 行距: 单倍行距 + 段前:..."/>
    <w:basedOn w:val="1"/>
    <w:autoRedefine/>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87">
    <w:name w:val="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88">
    <w:name w:val="Default"/>
    <w:autoRedefine/>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89">
    <w:name w:val="1"/>
    <w:basedOn w:val="1"/>
    <w:autoRedefine/>
    <w:qFormat/>
    <w:uiPriority w:val="0"/>
    <w:pPr>
      <w:spacing w:afterLines="50" w:line="360" w:lineRule="auto"/>
    </w:pPr>
    <w:rPr>
      <w:rFonts w:ascii="宋体" w:hAnsi="宋体"/>
      <w:b/>
      <w:sz w:val="30"/>
      <w:szCs w:val="21"/>
    </w:rPr>
  </w:style>
  <w:style w:type="paragraph" w:customStyle="1" w:styleId="90">
    <w:name w:val="样式 标题 2 + 宋体 五号 行距: 单倍行距"/>
    <w:basedOn w:val="3"/>
    <w:autoRedefine/>
    <w:qFormat/>
    <w:uiPriority w:val="0"/>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91">
    <w:name w:val="标题 1 +"/>
    <w:basedOn w:val="2"/>
    <w:next w:val="1"/>
    <w:autoRedefine/>
    <w:qFormat/>
    <w:uiPriority w:val="0"/>
    <w:pPr>
      <w:keepLines/>
      <w:spacing w:line="600" w:lineRule="auto"/>
    </w:pPr>
    <w:rPr>
      <w:rFonts w:eastAsia="黑体"/>
      <w:kern w:val="0"/>
      <w:sz w:val="32"/>
      <w:szCs w:val="32"/>
    </w:rPr>
  </w:style>
  <w:style w:type="character" w:customStyle="1" w:styleId="92">
    <w:name w:val="批注主题 字符1"/>
    <w:basedOn w:val="69"/>
    <w:link w:val="42"/>
    <w:autoRedefine/>
    <w:qFormat/>
    <w:uiPriority w:val="0"/>
    <w:rPr>
      <w:rFonts w:ascii="Times New Roman" w:hAnsi="Times New Roman" w:eastAsia="宋体" w:cs="Times New Roman"/>
      <w:b/>
      <w:bCs/>
      <w:szCs w:val="24"/>
    </w:rPr>
  </w:style>
  <w:style w:type="character" w:customStyle="1" w:styleId="93">
    <w:name w:val="批注框文本 字符1"/>
    <w:basedOn w:val="46"/>
    <w:link w:val="27"/>
    <w:autoRedefine/>
    <w:qFormat/>
    <w:uiPriority w:val="0"/>
    <w:rPr>
      <w:rFonts w:ascii="Times New Roman" w:hAnsi="Times New Roman" w:eastAsia="宋体" w:cs="Times New Roman"/>
      <w:sz w:val="18"/>
      <w:szCs w:val="18"/>
    </w:rPr>
  </w:style>
  <w:style w:type="paragraph" w:customStyle="1" w:styleId="94">
    <w:name w:val="样式 标题 2 + Times New Roman 四号 非加粗 段前: 5 磅 段后: 0 磅 行距: 固定值 20..."/>
    <w:basedOn w:val="3"/>
    <w:autoRedefine/>
    <w:qFormat/>
    <w:uiPriority w:val="0"/>
    <w:pPr>
      <w:spacing w:before="100" w:line="400" w:lineRule="exact"/>
    </w:pPr>
    <w:rPr>
      <w:rFonts w:ascii="Times New Roman" w:hAnsi="Times New Roman" w:eastAsia="黑体"/>
      <w:b w:val="0"/>
      <w:bCs w:val="0"/>
      <w:sz w:val="28"/>
      <w:szCs w:val="20"/>
    </w:rPr>
  </w:style>
  <w:style w:type="paragraph" w:customStyle="1" w:styleId="95">
    <w:name w:val="p15"/>
    <w:basedOn w:val="1"/>
    <w:autoRedefine/>
    <w:qFormat/>
    <w:uiPriority w:val="0"/>
    <w:pPr>
      <w:widowControl/>
      <w:spacing w:line="220" w:lineRule="atLeast"/>
      <w:jc w:val="center"/>
    </w:pPr>
    <w:rPr>
      <w:rFonts w:ascii="仿宋_GB2312" w:hAnsi="宋体" w:eastAsia="仿宋_GB2312" w:cs="宋体"/>
      <w:kern w:val="0"/>
      <w:szCs w:val="21"/>
    </w:rPr>
  </w:style>
  <w:style w:type="paragraph" w:customStyle="1" w:styleId="96">
    <w:name w:val="Char1 Char Char Char 字元 Char Char 字元 Char 字元 Char1 Char Char Char"/>
    <w:basedOn w:val="1"/>
    <w:autoRedefine/>
    <w:qFormat/>
    <w:uiPriority w:val="0"/>
    <w:rPr>
      <w:szCs w:val="20"/>
    </w:rPr>
  </w:style>
  <w:style w:type="paragraph" w:customStyle="1" w:styleId="97">
    <w:name w:val="p16"/>
    <w:basedOn w:val="1"/>
    <w:autoRedefine/>
    <w:qFormat/>
    <w:uiPriority w:val="0"/>
    <w:pPr>
      <w:widowControl/>
      <w:jc w:val="left"/>
    </w:pPr>
    <w:rPr>
      <w:kern w:val="0"/>
      <w:szCs w:val="21"/>
    </w:rPr>
  </w:style>
  <w:style w:type="paragraph" w:customStyle="1" w:styleId="98">
    <w:name w:val="xl31"/>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99">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100">
    <w:name w:val="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01">
    <w:name w:val="xl25"/>
    <w:basedOn w:val="1"/>
    <w:autoRedefine/>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102">
    <w:name w:val="Char Char Char1 Char"/>
    <w:basedOn w:val="1"/>
    <w:autoRedefine/>
    <w:qFormat/>
    <w:uiPriority w:val="0"/>
    <w:pPr>
      <w:tabs>
        <w:tab w:val="left" w:pos="360"/>
      </w:tabs>
      <w:snapToGrid w:val="0"/>
      <w:spacing w:line="360" w:lineRule="auto"/>
    </w:pPr>
    <w:rPr>
      <w:rFonts w:eastAsia="仿宋_GB2312" w:cs="宋体"/>
      <w:sz w:val="24"/>
    </w:rPr>
  </w:style>
  <w:style w:type="paragraph" w:styleId="103">
    <w:name w:val="List Paragraph"/>
    <w:basedOn w:val="1"/>
    <w:link w:val="109"/>
    <w:autoRedefine/>
    <w:qFormat/>
    <w:uiPriority w:val="34"/>
    <w:pPr>
      <w:ind w:firstLine="420" w:firstLineChars="200"/>
    </w:pPr>
  </w:style>
  <w:style w:type="character" w:customStyle="1" w:styleId="104">
    <w:name w:val="fontstyle01"/>
    <w:basedOn w:val="46"/>
    <w:autoRedefine/>
    <w:qFormat/>
    <w:uiPriority w:val="0"/>
    <w:rPr>
      <w:rFonts w:hint="eastAsia" w:ascii="宋体" w:hAnsi="宋体" w:eastAsia="宋体"/>
      <w:color w:val="000000"/>
      <w:sz w:val="24"/>
      <w:szCs w:val="24"/>
    </w:rPr>
  </w:style>
  <w:style w:type="character" w:customStyle="1" w:styleId="105">
    <w:name w:val="fontstyle11"/>
    <w:basedOn w:val="46"/>
    <w:autoRedefine/>
    <w:qFormat/>
    <w:uiPriority w:val="0"/>
    <w:rPr>
      <w:rFonts w:hint="default" w:ascii="TimesNewRomanPSMT" w:hAnsi="TimesNewRomanPSMT"/>
      <w:color w:val="000000"/>
      <w:sz w:val="24"/>
      <w:szCs w:val="24"/>
    </w:rPr>
  </w:style>
  <w:style w:type="paragraph" w:customStyle="1" w:styleId="106">
    <w:name w:val="TOC 标题1"/>
    <w:basedOn w:val="2"/>
    <w:next w:val="1"/>
    <w:autoRedefine/>
    <w:semiHidden/>
    <w:unhideWhenUsed/>
    <w:qFormat/>
    <w:uiPriority w:val="39"/>
    <w:pPr>
      <w:keepLines/>
      <w:widowControl/>
      <w:spacing w:before="480" w:line="276" w:lineRule="auto"/>
      <w:jc w:val="left"/>
      <w:outlineLvl w:val="9"/>
    </w:pPr>
    <w:rPr>
      <w:rFonts w:asciiTheme="majorHAnsi" w:hAnsiTheme="majorHAnsi" w:eastAsiaTheme="majorEastAsia" w:cstheme="majorBidi"/>
      <w:color w:val="2F5597" w:themeColor="accent1" w:themeShade="BF"/>
      <w:kern w:val="0"/>
      <w:sz w:val="28"/>
      <w:szCs w:val="28"/>
    </w:rPr>
  </w:style>
  <w:style w:type="character" w:customStyle="1" w:styleId="107">
    <w:name w:val="fontstyle21"/>
    <w:basedOn w:val="46"/>
    <w:autoRedefine/>
    <w:qFormat/>
    <w:uiPriority w:val="0"/>
    <w:rPr>
      <w:rFonts w:hint="eastAsia" w:ascii="宋体" w:hAnsi="宋体" w:eastAsia="宋体"/>
      <w:color w:val="993300"/>
      <w:sz w:val="24"/>
      <w:szCs w:val="24"/>
    </w:rPr>
  </w:style>
  <w:style w:type="character" w:customStyle="1" w:styleId="108">
    <w:name w:val="fontstyle31"/>
    <w:basedOn w:val="46"/>
    <w:autoRedefine/>
    <w:qFormat/>
    <w:uiPriority w:val="0"/>
    <w:rPr>
      <w:rFonts w:hint="default" w:ascii="Arial" w:hAnsi="Arial" w:cs="Arial"/>
      <w:color w:val="993300"/>
      <w:sz w:val="24"/>
      <w:szCs w:val="24"/>
    </w:rPr>
  </w:style>
  <w:style w:type="character" w:customStyle="1" w:styleId="109">
    <w:name w:val="列表段落 字符"/>
    <w:link w:val="103"/>
    <w:autoRedefine/>
    <w:qFormat/>
    <w:uiPriority w:val="0"/>
    <w:rPr>
      <w:rFonts w:ascii="Times New Roman" w:hAnsi="Times New Roman" w:eastAsia="宋体" w:cs="Times New Roman"/>
      <w:szCs w:val="24"/>
    </w:rPr>
  </w:style>
  <w:style w:type="character" w:customStyle="1" w:styleId="110">
    <w:name w:val="标题 字符1"/>
    <w:link w:val="41"/>
    <w:autoRedefine/>
    <w:qFormat/>
    <w:uiPriority w:val="0"/>
    <w:rPr>
      <w:b/>
      <w:sz w:val="32"/>
    </w:rPr>
  </w:style>
  <w:style w:type="character" w:customStyle="1" w:styleId="111">
    <w:name w:val="标题 Char1"/>
    <w:basedOn w:val="46"/>
    <w:autoRedefine/>
    <w:qFormat/>
    <w:uiPriority w:val="10"/>
    <w:rPr>
      <w:rFonts w:eastAsia="宋体" w:asciiTheme="majorHAnsi" w:hAnsiTheme="majorHAnsi" w:cstheme="majorBidi"/>
      <w:b/>
      <w:bCs/>
      <w:sz w:val="32"/>
      <w:szCs w:val="32"/>
    </w:rPr>
  </w:style>
  <w:style w:type="character" w:customStyle="1" w:styleId="112">
    <w:name w:val="样式1 Char Char"/>
    <w:link w:val="80"/>
    <w:autoRedefine/>
    <w:qFormat/>
    <w:uiPriority w:val="0"/>
    <w:rPr>
      <w:rFonts w:ascii="宋体" w:hAnsi="宋体" w:eastAsia="宋体" w:cs="Times New Roman"/>
      <w:kern w:val="0"/>
      <w:szCs w:val="21"/>
    </w:rPr>
  </w:style>
  <w:style w:type="character" w:customStyle="1" w:styleId="113">
    <w:name w:val="纯文本 Char1"/>
    <w:autoRedefine/>
    <w:semiHidden/>
    <w:qFormat/>
    <w:locked/>
    <w:uiPriority w:val="0"/>
    <w:rPr>
      <w:rFonts w:ascii="宋体" w:hAnsi="Courier New" w:eastAsia="宋体" w:cs="Courier New"/>
      <w:kern w:val="2"/>
      <w:sz w:val="21"/>
      <w:szCs w:val="21"/>
      <w:lang w:val="en-US" w:eastAsia="zh-CN" w:bidi="ar-SA"/>
    </w:rPr>
  </w:style>
  <w:style w:type="paragraph" w:customStyle="1" w:styleId="114">
    <w:name w:val="正文文字缩进"/>
    <w:autoRedefine/>
    <w:qFormat/>
    <w:uiPriority w:val="0"/>
    <w:pPr>
      <w:spacing w:line="351" w:lineRule="atLeast"/>
      <w:ind w:firstLine="555"/>
      <w:textAlignment w:val="baseline"/>
    </w:pPr>
    <w:rPr>
      <w:rFonts w:ascii="Times New Roman" w:hAnsi="Times New Roman" w:eastAsia="宋体" w:cs="Times New Roman"/>
      <w:color w:val="000000"/>
      <w:sz w:val="28"/>
      <w:lang w:val="en-US" w:eastAsia="zh-CN" w:bidi="ar-SA"/>
    </w:rPr>
  </w:style>
  <w:style w:type="character" w:customStyle="1" w:styleId="115">
    <w:name w:val="批注文字 字符"/>
    <w:autoRedefine/>
    <w:qFormat/>
    <w:uiPriority w:val="0"/>
    <w:rPr>
      <w:sz w:val="24"/>
      <w:szCs w:val="24"/>
    </w:rPr>
  </w:style>
  <w:style w:type="character" w:customStyle="1" w:styleId="116">
    <w:name w:val="纯文本 字符"/>
    <w:autoRedefine/>
    <w:qFormat/>
    <w:locked/>
    <w:uiPriority w:val="0"/>
    <w:rPr>
      <w:rFonts w:ascii="宋体" w:hAnsi="Courier New" w:eastAsia="宋体" w:cs="Courier New"/>
      <w:kern w:val="2"/>
      <w:sz w:val="24"/>
      <w:szCs w:val="21"/>
      <w:lang w:val="en-US" w:eastAsia="zh-CN" w:bidi="ar-SA"/>
    </w:rPr>
  </w:style>
  <w:style w:type="paragraph" w:customStyle="1" w:styleId="117">
    <w:name w:val="列出段落1"/>
    <w:basedOn w:val="1"/>
    <w:autoRedefine/>
    <w:qFormat/>
    <w:uiPriority w:val="0"/>
    <w:pPr>
      <w:ind w:firstLine="420" w:firstLineChars="200"/>
    </w:pPr>
    <w:rPr>
      <w:kern w:val="0"/>
      <w:sz w:val="24"/>
    </w:rPr>
  </w:style>
  <w:style w:type="character" w:customStyle="1" w:styleId="118">
    <w:name w:val="标题 1 字符"/>
    <w:autoRedefine/>
    <w:qFormat/>
    <w:uiPriority w:val="0"/>
    <w:rPr>
      <w:b/>
      <w:bCs/>
      <w:kern w:val="44"/>
      <w:sz w:val="44"/>
      <w:szCs w:val="44"/>
    </w:rPr>
  </w:style>
  <w:style w:type="character" w:customStyle="1" w:styleId="119">
    <w:name w:val="标题 2 字符"/>
    <w:autoRedefine/>
    <w:qFormat/>
    <w:uiPriority w:val="0"/>
    <w:rPr>
      <w:rFonts w:ascii="Arial" w:hAnsi="Arial" w:eastAsia="黑体"/>
      <w:b/>
      <w:sz w:val="32"/>
    </w:rPr>
  </w:style>
  <w:style w:type="character" w:customStyle="1" w:styleId="120">
    <w:name w:val="标题 4 字符"/>
    <w:autoRedefine/>
    <w:qFormat/>
    <w:uiPriority w:val="0"/>
    <w:rPr>
      <w:rFonts w:ascii="Arial" w:hAnsi="Arial" w:eastAsia="黑体" w:cs="Arial"/>
      <w:b/>
      <w:bCs/>
      <w:kern w:val="2"/>
      <w:sz w:val="28"/>
      <w:szCs w:val="28"/>
    </w:rPr>
  </w:style>
  <w:style w:type="character" w:customStyle="1" w:styleId="121">
    <w:name w:val="文档结构图 字符"/>
    <w:autoRedefine/>
    <w:semiHidden/>
    <w:qFormat/>
    <w:uiPriority w:val="0"/>
    <w:rPr>
      <w:sz w:val="24"/>
      <w:szCs w:val="24"/>
      <w:shd w:val="clear" w:color="auto" w:fill="000080"/>
    </w:rPr>
  </w:style>
  <w:style w:type="character" w:customStyle="1" w:styleId="122">
    <w:name w:val="正文文本 字符"/>
    <w:autoRedefine/>
    <w:qFormat/>
    <w:uiPriority w:val="99"/>
    <w:rPr>
      <w:sz w:val="21"/>
      <w:szCs w:val="24"/>
    </w:rPr>
  </w:style>
  <w:style w:type="character" w:customStyle="1" w:styleId="123">
    <w:name w:val="正文文本缩进 字符"/>
    <w:autoRedefine/>
    <w:qFormat/>
    <w:uiPriority w:val="0"/>
    <w:rPr>
      <w:sz w:val="24"/>
      <w:szCs w:val="24"/>
    </w:rPr>
  </w:style>
  <w:style w:type="character" w:customStyle="1" w:styleId="124">
    <w:name w:val="正文文本缩进 2 字符"/>
    <w:autoRedefine/>
    <w:qFormat/>
    <w:uiPriority w:val="0"/>
    <w:rPr>
      <w:sz w:val="24"/>
      <w:szCs w:val="24"/>
    </w:rPr>
  </w:style>
  <w:style w:type="character" w:customStyle="1" w:styleId="125">
    <w:name w:val="批注框文本 字符"/>
    <w:autoRedefine/>
    <w:qFormat/>
    <w:locked/>
    <w:uiPriority w:val="0"/>
    <w:rPr>
      <w:rFonts w:cs="Times New Roman"/>
      <w:sz w:val="18"/>
      <w:szCs w:val="18"/>
    </w:rPr>
  </w:style>
  <w:style w:type="character" w:customStyle="1" w:styleId="126">
    <w:name w:val="页脚 字符"/>
    <w:autoRedefine/>
    <w:qFormat/>
    <w:locked/>
    <w:uiPriority w:val="99"/>
    <w:rPr>
      <w:rFonts w:cs="Times New Roman"/>
      <w:sz w:val="18"/>
      <w:szCs w:val="18"/>
    </w:rPr>
  </w:style>
  <w:style w:type="character" w:customStyle="1" w:styleId="127">
    <w:name w:val="页眉 字符"/>
    <w:autoRedefine/>
    <w:qFormat/>
    <w:locked/>
    <w:uiPriority w:val="0"/>
    <w:rPr>
      <w:rFonts w:cs="Times New Roman"/>
      <w:sz w:val="18"/>
      <w:szCs w:val="18"/>
    </w:rPr>
  </w:style>
  <w:style w:type="paragraph" w:customStyle="1" w:styleId="128">
    <w:name w:val="_Style 122"/>
    <w:basedOn w:val="1"/>
    <w:next w:val="1"/>
    <w:autoRedefine/>
    <w:qFormat/>
    <w:uiPriority w:val="39"/>
    <w:pPr>
      <w:ind w:left="420" w:leftChars="200"/>
    </w:pPr>
    <w:rPr>
      <w:kern w:val="0"/>
      <w:sz w:val="24"/>
    </w:rPr>
  </w:style>
  <w:style w:type="character" w:customStyle="1" w:styleId="129">
    <w:name w:val="正文文本 2 字符"/>
    <w:autoRedefine/>
    <w:qFormat/>
    <w:uiPriority w:val="0"/>
    <w:rPr>
      <w:sz w:val="21"/>
      <w:szCs w:val="24"/>
    </w:rPr>
  </w:style>
  <w:style w:type="character" w:customStyle="1" w:styleId="130">
    <w:name w:val="标题 字符"/>
    <w:autoRedefine/>
    <w:qFormat/>
    <w:uiPriority w:val="0"/>
    <w:rPr>
      <w:rFonts w:ascii="Calibri Light" w:hAnsi="Calibri Light"/>
      <w:b/>
      <w:bCs/>
      <w:kern w:val="2"/>
      <w:sz w:val="32"/>
      <w:szCs w:val="32"/>
    </w:rPr>
  </w:style>
  <w:style w:type="character" w:customStyle="1" w:styleId="131">
    <w:name w:val="apple-style-span"/>
    <w:autoRedefine/>
    <w:qFormat/>
    <w:uiPriority w:val="0"/>
  </w:style>
  <w:style w:type="character" w:customStyle="1" w:styleId="132">
    <w:name w:val="样式 (中文) 仿宋_GB2312 三号"/>
    <w:autoRedefine/>
    <w:qFormat/>
    <w:uiPriority w:val="0"/>
    <w:rPr>
      <w:rFonts w:hint="eastAsia" w:ascii="仿宋_GB2312" w:eastAsia="仿宋_GB2312"/>
      <w:sz w:val="32"/>
    </w:rPr>
  </w:style>
  <w:style w:type="character" w:customStyle="1" w:styleId="133">
    <w:name w:val="1111111199999 Char"/>
    <w:link w:val="134"/>
    <w:autoRedefine/>
    <w:qFormat/>
    <w:locked/>
    <w:uiPriority w:val="0"/>
    <w:rPr>
      <w:sz w:val="21"/>
    </w:rPr>
  </w:style>
  <w:style w:type="paragraph" w:customStyle="1" w:styleId="134">
    <w:name w:val="1111111199999"/>
    <w:basedOn w:val="1"/>
    <w:link w:val="133"/>
    <w:autoRedefine/>
    <w:qFormat/>
    <w:uiPriority w:val="0"/>
    <w:pPr>
      <w:widowControl/>
      <w:spacing w:beforeLines="50" w:line="240" w:lineRule="exact"/>
      <w:ind w:firstLine="514" w:firstLineChars="214"/>
      <w:jc w:val="left"/>
    </w:pPr>
    <w:rPr>
      <w:rFonts w:asciiTheme="minorHAnsi" w:hAnsiTheme="minorHAnsi" w:eastAsiaTheme="minorEastAsia" w:cstheme="minorBidi"/>
      <w:kern w:val="0"/>
      <w:szCs w:val="20"/>
    </w:rPr>
  </w:style>
  <w:style w:type="character" w:customStyle="1" w:styleId="135">
    <w:name w:val="Char Char3"/>
    <w:autoRedefine/>
    <w:qFormat/>
    <w:locked/>
    <w:uiPriority w:val="0"/>
    <w:rPr>
      <w:rFonts w:ascii="宋体" w:hAnsi="宋体" w:eastAsia="宋体"/>
      <w:sz w:val="18"/>
      <w:szCs w:val="18"/>
      <w:lang w:val="en-US" w:eastAsia="zh-CN" w:bidi="ar-SA"/>
    </w:rPr>
  </w:style>
  <w:style w:type="character" w:customStyle="1" w:styleId="136">
    <w:name w:val="Char Char4"/>
    <w:autoRedefine/>
    <w:qFormat/>
    <w:locked/>
    <w:uiPriority w:val="0"/>
    <w:rPr>
      <w:rFonts w:ascii="宋体" w:hAnsi="Courier New" w:eastAsia="宋体"/>
      <w:kern w:val="2"/>
      <w:sz w:val="21"/>
      <w:lang w:bidi="ar-SA"/>
    </w:rPr>
  </w:style>
  <w:style w:type="character" w:customStyle="1" w:styleId="137">
    <w:name w:val="List Paragraph Char"/>
    <w:link w:val="138"/>
    <w:autoRedefine/>
    <w:qFormat/>
    <w:locked/>
    <w:uiPriority w:val="0"/>
    <w:rPr>
      <w:rFonts w:ascii="Calibri" w:hAnsi="Calibri"/>
      <w:sz w:val="22"/>
      <w:lang w:eastAsia="en-US"/>
    </w:rPr>
  </w:style>
  <w:style w:type="paragraph" w:customStyle="1" w:styleId="138">
    <w:name w:val="列出段落111"/>
    <w:basedOn w:val="1"/>
    <w:link w:val="137"/>
    <w:autoRedefine/>
    <w:qFormat/>
    <w:uiPriority w:val="0"/>
    <w:pPr>
      <w:widowControl/>
      <w:ind w:left="720" w:firstLine="360"/>
      <w:jc w:val="left"/>
    </w:pPr>
    <w:rPr>
      <w:rFonts w:ascii="Calibri" w:hAnsi="Calibri" w:eastAsiaTheme="minorEastAsia" w:cstheme="minorBidi"/>
      <w:kern w:val="0"/>
      <w:sz w:val="22"/>
      <w:szCs w:val="20"/>
      <w:lang w:eastAsia="en-US"/>
    </w:rPr>
  </w:style>
  <w:style w:type="paragraph" w:customStyle="1" w:styleId="139">
    <w:name w:val="列出段落11"/>
    <w:basedOn w:val="1"/>
    <w:autoRedefine/>
    <w:qFormat/>
    <w:uiPriority w:val="0"/>
    <w:pPr>
      <w:widowControl/>
      <w:spacing w:line="351" w:lineRule="atLeast"/>
      <w:ind w:firstLine="420" w:firstLineChars="200"/>
      <w:textAlignment w:val="baseline"/>
    </w:pPr>
    <w:rPr>
      <w:color w:val="000000"/>
      <w:kern w:val="0"/>
      <w:sz w:val="20"/>
      <w:szCs w:val="20"/>
      <w:lang w:val="zh-CN"/>
    </w:rPr>
  </w:style>
  <w:style w:type="paragraph" w:customStyle="1" w:styleId="140">
    <w:name w:val="Char Char Char Char"/>
    <w:basedOn w:val="1"/>
    <w:autoRedefine/>
    <w:qFormat/>
    <w:uiPriority w:val="0"/>
    <w:rPr>
      <w:sz w:val="24"/>
      <w:szCs w:val="36"/>
    </w:rPr>
  </w:style>
  <w:style w:type="paragraph" w:customStyle="1" w:styleId="141">
    <w:name w:val="列出段落12"/>
    <w:basedOn w:val="1"/>
    <w:autoRedefine/>
    <w:qFormat/>
    <w:uiPriority w:val="0"/>
    <w:pPr>
      <w:widowControl/>
      <w:ind w:left="720" w:firstLine="360"/>
      <w:jc w:val="left"/>
    </w:pPr>
    <w:rPr>
      <w:rFonts w:ascii="Calibri" w:hAnsi="Calibri"/>
      <w:kern w:val="0"/>
      <w:sz w:val="22"/>
      <w:szCs w:val="20"/>
      <w:lang w:eastAsia="en-US"/>
    </w:rPr>
  </w:style>
  <w:style w:type="paragraph" w:customStyle="1" w:styleId="142">
    <w:name w:val="样式2"/>
    <w:basedOn w:val="2"/>
    <w:autoRedefine/>
    <w:qFormat/>
    <w:uiPriority w:val="0"/>
    <w:pPr>
      <w:keepLines/>
      <w:spacing w:before="340" w:after="330" w:line="640" w:lineRule="exact"/>
    </w:pPr>
    <w:rPr>
      <w:rFonts w:ascii="方正小标宋简体" w:hAnsi="华文中宋" w:eastAsia="方正小标宋简体"/>
      <w:b w:val="0"/>
      <w:kern w:val="44"/>
      <w:sz w:val="44"/>
      <w:szCs w:val="44"/>
    </w:rPr>
  </w:style>
  <w:style w:type="paragraph" w:customStyle="1" w:styleId="143">
    <w:name w:val="样式3"/>
    <w:basedOn w:val="2"/>
    <w:autoRedefine/>
    <w:qFormat/>
    <w:uiPriority w:val="0"/>
    <w:pPr>
      <w:keepLines/>
      <w:spacing w:before="340" w:after="330" w:line="640" w:lineRule="exact"/>
    </w:pPr>
    <w:rPr>
      <w:rFonts w:ascii="方正小标宋简体" w:hAnsi="华文中宋" w:eastAsia="方正小标宋简体"/>
      <w:b w:val="0"/>
      <w:kern w:val="44"/>
      <w:sz w:val="44"/>
      <w:szCs w:val="44"/>
    </w:rPr>
  </w:style>
  <w:style w:type="character" w:customStyle="1" w:styleId="144">
    <w:name w:val="批注主题 字符"/>
    <w:autoRedefine/>
    <w:qFormat/>
    <w:uiPriority w:val="0"/>
    <w:rPr>
      <w:b/>
      <w:bCs/>
      <w:sz w:val="24"/>
      <w:szCs w:val="24"/>
    </w:rPr>
  </w:style>
  <w:style w:type="character" w:customStyle="1" w:styleId="145">
    <w:name w:val="副标题 Char"/>
    <w:basedOn w:val="46"/>
    <w:autoRedefine/>
    <w:qFormat/>
    <w:uiPriority w:val="11"/>
    <w:rPr>
      <w:rFonts w:eastAsia="宋体" w:asciiTheme="majorHAnsi" w:hAnsiTheme="majorHAnsi" w:cstheme="majorBidi"/>
      <w:b/>
      <w:bCs/>
      <w:kern w:val="28"/>
      <w:sz w:val="32"/>
      <w:szCs w:val="32"/>
    </w:rPr>
  </w:style>
  <w:style w:type="character" w:customStyle="1" w:styleId="146">
    <w:name w:val="副标题 字符"/>
    <w:link w:val="32"/>
    <w:autoRedefine/>
    <w:qFormat/>
    <w:uiPriority w:val="0"/>
    <w:rPr>
      <w:rFonts w:ascii="等线 Light" w:hAnsi="等线 Light" w:eastAsia="宋体" w:cs="Times New Roman"/>
      <w:b/>
      <w:bCs/>
      <w:kern w:val="28"/>
      <w:sz w:val="32"/>
      <w:szCs w:val="32"/>
    </w:rPr>
  </w:style>
  <w:style w:type="character" w:customStyle="1" w:styleId="147">
    <w:name w:val="未处理的提及1"/>
    <w:basedOn w:val="46"/>
    <w:autoRedefine/>
    <w:semiHidden/>
    <w:unhideWhenUsed/>
    <w:qFormat/>
    <w:uiPriority w:val="99"/>
    <w:rPr>
      <w:color w:val="605E5C"/>
      <w:shd w:val="clear" w:color="auto" w:fill="E1DFDD"/>
    </w:rPr>
  </w:style>
  <w:style w:type="character" w:customStyle="1" w:styleId="148">
    <w:name w:val="未处理的提及2"/>
    <w:basedOn w:val="46"/>
    <w:autoRedefine/>
    <w:semiHidden/>
    <w:unhideWhenUsed/>
    <w:qFormat/>
    <w:uiPriority w:val="99"/>
    <w:rPr>
      <w:color w:val="605E5C"/>
      <w:shd w:val="clear" w:color="auto" w:fill="E1DFDD"/>
    </w:rPr>
  </w:style>
  <w:style w:type="paragraph" w:customStyle="1" w:styleId="149">
    <w:name w:val="修订1"/>
    <w:autoRedefine/>
    <w:hidden/>
    <w:unhideWhenUsed/>
    <w:qFormat/>
    <w:uiPriority w:val="99"/>
    <w:rPr>
      <w:rFonts w:ascii="Times New Roman" w:hAnsi="Times New Roman" w:eastAsia="宋体" w:cs="Times New Roman"/>
      <w:kern w:val="2"/>
      <w:sz w:val="21"/>
      <w:szCs w:val="24"/>
      <w:lang w:val="en-US" w:eastAsia="zh-CN" w:bidi="ar-SA"/>
    </w:rPr>
  </w:style>
  <w:style w:type="paragraph" w:customStyle="1" w:styleId="150">
    <w:name w:val="修订2"/>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151">
    <w:name w:val="未处理的提及3"/>
    <w:basedOn w:val="46"/>
    <w:autoRedefine/>
    <w:semiHidden/>
    <w:unhideWhenUsed/>
    <w:qFormat/>
    <w:uiPriority w:val="99"/>
    <w:rPr>
      <w:color w:val="605E5C"/>
      <w:shd w:val="clear" w:color="auto" w:fill="E1DFDD"/>
    </w:rPr>
  </w:style>
  <w:style w:type="paragraph" w:customStyle="1" w:styleId="152">
    <w:name w:val="Revision"/>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153">
    <w:name w:val="TOC Heading"/>
    <w:basedOn w:val="2"/>
    <w:next w:val="1"/>
    <w:autoRedefine/>
    <w:unhideWhenUsed/>
    <w:qFormat/>
    <w:uiPriority w:val="39"/>
    <w:pPr>
      <w:keepLines/>
      <w:widowControl/>
      <w:spacing w:before="24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154">
    <w:name w:val="Unresolved Mention"/>
    <w:basedOn w:val="46"/>
    <w:autoRedefine/>
    <w:semiHidden/>
    <w:unhideWhenUsed/>
    <w:qFormat/>
    <w:uiPriority w:val="99"/>
    <w:rPr>
      <w:color w:val="605E5C"/>
      <w:shd w:val="clear" w:color="auto" w:fill="E1DFDD"/>
    </w:rPr>
  </w:style>
  <w:style w:type="character" w:customStyle="1" w:styleId="155">
    <w:name w:val="cf01"/>
    <w:basedOn w:val="46"/>
    <w:autoRedefine/>
    <w:qFormat/>
    <w:uiPriority w:val="0"/>
    <w:rPr>
      <w:rFonts w:hint="eastAsia" w:ascii="Microsoft YaHei UI" w:hAnsi="Microsoft YaHei UI" w:eastAsia="Microsoft YaHei UI"/>
      <w:sz w:val="24"/>
      <w:szCs w:val="24"/>
    </w:rPr>
  </w:style>
  <w:style w:type="paragraph" w:customStyle="1" w:styleId="156">
    <w:name w:val="无缩进15"/>
    <w:basedOn w:val="1"/>
    <w:next w:val="1"/>
    <w:autoRedefine/>
    <w:qFormat/>
    <w:uiPriority w:val="0"/>
    <w:pPr>
      <w:spacing w:line="300" w:lineRule="exact"/>
      <w:ind w:firstLine="0" w:firstLineChars="0"/>
    </w:pPr>
  </w:style>
  <w:style w:type="paragraph" w:customStyle="1" w:styleId="157">
    <w:name w:val="副标题（正）"/>
    <w:basedOn w:val="1"/>
    <w:next w:val="1"/>
    <w:autoRedefine/>
    <w:qFormat/>
    <w:uiPriority w:val="0"/>
    <w:pPr>
      <w:spacing w:line="360" w:lineRule="auto"/>
      <w:ind w:firstLine="0" w:firstLineChars="0"/>
      <w:jc w:val="center"/>
    </w:pPr>
    <w:rPr>
      <w:b/>
      <w:sz w:val="44"/>
    </w:rPr>
  </w:style>
  <w:style w:type="paragraph" w:customStyle="1" w:styleId="158">
    <w:name w:val="_Style 1"/>
    <w:basedOn w:val="1"/>
    <w:autoRedefine/>
    <w:qFormat/>
    <w:uiPriority w:val="0"/>
    <w:pPr>
      <w:ind w:firstLine="420" w:firstLineChars="200"/>
    </w:pPr>
    <w:rPr>
      <w:rFonts w:ascii="Calibri" w:hAnsi="Calibri"/>
      <w:kern w:val="2"/>
      <w:sz w:val="21"/>
      <w:szCs w:val="22"/>
    </w:rPr>
  </w:style>
  <w:style w:type="paragraph" w:customStyle="1" w:styleId="159">
    <w:name w:val="副标题【正】"/>
    <w:basedOn w:val="1"/>
    <w:next w:val="1"/>
    <w:autoRedefine/>
    <w:qFormat/>
    <w:uiPriority w:val="0"/>
    <w:pPr>
      <w:spacing w:line="360" w:lineRule="auto"/>
      <w:ind w:firstLine="0" w:firstLineChars="0"/>
      <w:jc w:val="center"/>
    </w:pPr>
    <w:rPr>
      <w:b/>
      <w:sz w:val="32"/>
    </w:rPr>
  </w:style>
  <w:style w:type="paragraph" w:customStyle="1" w:styleId="160">
    <w:name w:val="表头（表下）"/>
    <w:basedOn w:val="1"/>
    <w:next w:val="1"/>
    <w:autoRedefine/>
    <w:qFormat/>
    <w:uiPriority w:val="0"/>
    <w:pPr>
      <w:spacing w:line="300" w:lineRule="exact"/>
      <w:ind w:firstLine="0" w:firstLineChars="0"/>
      <w:jc w:val="center"/>
    </w:pPr>
    <w:rPr>
      <w:b/>
    </w:rPr>
  </w:style>
  <w:style w:type="paragraph" w:customStyle="1" w:styleId="161">
    <w:name w:val="副标题（正））"/>
    <w:basedOn w:val="1"/>
    <w:next w:val="1"/>
    <w:autoRedefine/>
    <w:qFormat/>
    <w:uiPriority w:val="0"/>
    <w:pPr>
      <w:spacing w:line="360" w:lineRule="auto"/>
      <w:ind w:firstLine="0" w:firstLineChars="0"/>
      <w:jc w:val="center"/>
    </w:pPr>
    <w:rPr>
      <w:b/>
      <w:sz w:val="32"/>
    </w:rPr>
  </w:style>
  <w:style w:type="paragraph" w:customStyle="1" w:styleId="162">
    <w:name w:val="无缩进15居中"/>
    <w:basedOn w:val="1"/>
    <w:next w:val="1"/>
    <w:autoRedefine/>
    <w:qFormat/>
    <w:uiPriority w:val="0"/>
    <w:pPr>
      <w:spacing w:line="300" w:lineRule="exact"/>
      <w:ind w:firstLine="0" w:firstLineChars="0"/>
      <w:jc w:val="center"/>
    </w:pPr>
  </w:style>
</w:styles>
</file>

<file path=word/_rels/document.xml.rels><?xml version="1.0" encoding="UTF-8" standalone="yes"?>
<Relationships xmlns="http://schemas.openxmlformats.org/package/2006/relationships"><Relationship Id="rId9" Type="http://schemas.openxmlformats.org/officeDocument/2006/relationships/footer" Target="footer1.xml"/><Relationship Id="rId8" Type="http://schemas.openxmlformats.org/officeDocument/2006/relationships/header" Target="header6.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theme" Target="theme/theme1.xml"/><Relationship Id="rId25" Type="http://schemas.openxmlformats.org/officeDocument/2006/relationships/footer" Target="footer6.xml"/><Relationship Id="rId24" Type="http://schemas.openxmlformats.org/officeDocument/2006/relationships/header" Target="header17.xml"/><Relationship Id="rId23" Type="http://schemas.openxmlformats.org/officeDocument/2006/relationships/footer" Target="footer5.xml"/><Relationship Id="rId22" Type="http://schemas.openxmlformats.org/officeDocument/2006/relationships/header" Target="header16.xml"/><Relationship Id="rId21" Type="http://schemas.openxmlformats.org/officeDocument/2006/relationships/footer" Target="footer4.xml"/><Relationship Id="rId20" Type="http://schemas.openxmlformats.org/officeDocument/2006/relationships/header" Target="header15.xml"/><Relationship Id="rId2" Type="http://schemas.openxmlformats.org/officeDocument/2006/relationships/settings" Target="settings.xml"/><Relationship Id="rId19" Type="http://schemas.openxmlformats.org/officeDocument/2006/relationships/footer" Target="footer3.xml"/><Relationship Id="rId18" Type="http://schemas.openxmlformats.org/officeDocument/2006/relationships/header" Target="header14.xml"/><Relationship Id="rId17" Type="http://schemas.openxmlformats.org/officeDocument/2006/relationships/header" Target="header13.xml"/><Relationship Id="rId16" Type="http://schemas.openxmlformats.org/officeDocument/2006/relationships/header" Target="header12.xml"/><Relationship Id="rId15" Type="http://schemas.openxmlformats.org/officeDocument/2006/relationships/header" Target="header11.xml"/><Relationship Id="rId14" Type="http://schemas.openxmlformats.org/officeDocument/2006/relationships/header" Target="header10.xml"/><Relationship Id="rId13" Type="http://schemas.openxmlformats.org/officeDocument/2006/relationships/footer" Target="footer2.xml"/><Relationship Id="rId12" Type="http://schemas.openxmlformats.org/officeDocument/2006/relationships/header" Target="header9.xml"/><Relationship Id="rId11" Type="http://schemas.openxmlformats.org/officeDocument/2006/relationships/header" Target="header8.xml"/><Relationship Id="rId10" Type="http://schemas.openxmlformats.org/officeDocument/2006/relationships/header" Target="head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25"/>
    <customShpInfo spid="_x0000_s1040"/>
    <customShpInfo spid="_x0000_s1039"/>
    <customShpInfo spid="_x0000_s1035"/>
    <customShpInfo spid="_x0000_s1034"/>
    <customShpInfo spid="_x0000_s1038"/>
    <customShpInfo spid="_x0000_s103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7D8C7F-7963-4AC5-893A-F11B2A8443F2}">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132</Pages>
  <Words>50264</Words>
  <Characters>51856</Characters>
  <Lines>232</Lines>
  <Paragraphs>65</Paragraphs>
  <TotalTime>10</TotalTime>
  <ScaleCrop>false</ScaleCrop>
  <LinksUpToDate>false</LinksUpToDate>
  <CharactersWithSpaces>56916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2022-08-25T03:15:00Z</dcterms:created>
  <dc:creator>admin</dc:creator>
  <cp:lastModifiedBy>孔阳</cp:lastModifiedBy>
  <cp:lastPrinted>2019-05-05T01:22:00Z</cp:lastPrinted>
  <dcterms:modified xsi:type="dcterms:W3CDTF">2024-03-21T00:40:50Z</dcterms:modified>
  <cp:revision>846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749374B54A7546458819C61E9DDB2F24</vt:lpwstr>
  </property>
</Properties>
</file>